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adjustRightInd w:val="0"/>
        <w:snapToGrid w:val="0"/>
        <w:spacing w:line="360" w:lineRule="auto"/>
        <w:ind w:firstLine="640"/>
        <w:jc w:val="center"/>
        <w:rPr>
          <w:rFonts w:ascii="仿宋_GB2312" w:hAnsi="仿宋" w:eastAsia="仿宋_GB2312"/>
          <w:b/>
          <w:kern w:val="0"/>
          <w:sz w:val="30"/>
          <w:szCs w:val="30"/>
          <w:lang w:val="zh-CN"/>
        </w:rPr>
      </w:pPr>
      <w:r>
        <w:rPr>
          <w:rFonts w:hint="eastAsia" w:ascii="仿宋_GB2312" w:hAnsi="仿宋" w:eastAsia="仿宋_GB2312"/>
          <w:b/>
          <w:sz w:val="30"/>
          <w:szCs w:val="30"/>
          <w:shd w:val="clear" w:color="auto" w:fill="FFFFFF"/>
        </w:rPr>
        <w:t>《</w:t>
      </w:r>
      <w:r>
        <w:rPr>
          <w:rFonts w:hint="eastAsia" w:ascii="仿宋_GB2312" w:hAnsi="仿宋" w:eastAsia="仿宋_GB2312"/>
          <w:b/>
          <w:kern w:val="0"/>
          <w:sz w:val="30"/>
          <w:szCs w:val="30"/>
          <w:lang w:val="zh-CN"/>
        </w:rPr>
        <w:t>云浮市云城区2022年度城镇国有建设用地标定地价更新项目》成果听证会意见采纳情况表</w:t>
      </w:r>
    </w:p>
    <w:tbl>
      <w:tblPr>
        <w:tblStyle w:val="8"/>
        <w:tblW w:w="50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347"/>
        <w:gridCol w:w="4730"/>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6" w:type="pct"/>
            <w:vAlign w:val="center"/>
          </w:tcPr>
          <w:p>
            <w:pPr>
              <w:adjustRightInd w:val="0"/>
              <w:snapToGrid w:val="0"/>
              <w:spacing w:before="62" w:beforeLines="20" w:after="62" w:afterLines="20"/>
              <w:jc w:val="center"/>
              <w:rPr>
                <w:rFonts w:eastAsia="仿宋_GB2312"/>
                <w:b/>
                <w:sz w:val="24"/>
              </w:rPr>
            </w:pPr>
            <w:r>
              <w:rPr>
                <w:rFonts w:eastAsia="仿宋_GB2312"/>
                <w:b/>
                <w:sz w:val="24"/>
              </w:rPr>
              <w:t>序号</w:t>
            </w:r>
          </w:p>
        </w:tc>
        <w:tc>
          <w:tcPr>
            <w:tcW w:w="1118" w:type="pct"/>
            <w:vAlign w:val="center"/>
          </w:tcPr>
          <w:p>
            <w:pPr>
              <w:adjustRightInd w:val="0"/>
              <w:snapToGrid w:val="0"/>
              <w:spacing w:before="62" w:beforeLines="20" w:after="62" w:afterLines="20"/>
              <w:jc w:val="center"/>
              <w:rPr>
                <w:rFonts w:eastAsia="仿宋_GB2312"/>
                <w:b/>
                <w:sz w:val="24"/>
              </w:rPr>
            </w:pPr>
            <w:r>
              <w:rPr>
                <w:rFonts w:eastAsia="仿宋_GB2312"/>
                <w:b/>
                <w:sz w:val="24"/>
              </w:rPr>
              <w:t>单位名称</w:t>
            </w:r>
          </w:p>
        </w:tc>
        <w:tc>
          <w:tcPr>
            <w:tcW w:w="1580" w:type="pct"/>
            <w:vAlign w:val="center"/>
          </w:tcPr>
          <w:p>
            <w:pPr>
              <w:adjustRightInd w:val="0"/>
              <w:snapToGrid w:val="0"/>
              <w:spacing w:before="62" w:beforeLines="20" w:after="62" w:afterLines="20"/>
              <w:jc w:val="center"/>
              <w:rPr>
                <w:rFonts w:eastAsia="仿宋_GB2312"/>
                <w:b/>
                <w:sz w:val="24"/>
              </w:rPr>
            </w:pPr>
            <w:r>
              <w:rPr>
                <w:rFonts w:eastAsia="仿宋_GB2312"/>
                <w:b/>
                <w:sz w:val="24"/>
              </w:rPr>
              <w:t>意见</w:t>
            </w:r>
            <w:r>
              <w:rPr>
                <w:rFonts w:hint="eastAsia" w:eastAsia="仿宋_GB2312"/>
                <w:b/>
                <w:sz w:val="24"/>
              </w:rPr>
              <w:t>/建议</w:t>
            </w:r>
          </w:p>
        </w:tc>
        <w:tc>
          <w:tcPr>
            <w:tcW w:w="2036" w:type="pct"/>
            <w:vAlign w:val="center"/>
          </w:tcPr>
          <w:p>
            <w:pPr>
              <w:adjustRightInd w:val="0"/>
              <w:snapToGrid w:val="0"/>
              <w:spacing w:before="62" w:beforeLines="20" w:after="62" w:afterLines="20"/>
              <w:jc w:val="center"/>
              <w:rPr>
                <w:rFonts w:eastAsia="仿宋_GB2312"/>
                <w:b/>
                <w:sz w:val="24"/>
              </w:rPr>
            </w:pPr>
            <w:r>
              <w:rPr>
                <w:rFonts w:hint="eastAsia" w:eastAsia="仿宋_GB2312"/>
                <w:b/>
                <w:sz w:val="24"/>
              </w:rPr>
              <w:t>采纳情况或</w:t>
            </w:r>
            <w:r>
              <w:rPr>
                <w:rFonts w:eastAsia="仿宋_GB2312"/>
                <w:b/>
                <w:sz w:val="24"/>
              </w:rPr>
              <w:t>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66" w:type="pct"/>
            <w:vAlign w:val="center"/>
          </w:tcPr>
          <w:p>
            <w:pPr>
              <w:adjustRightInd w:val="0"/>
              <w:snapToGrid w:val="0"/>
              <w:spacing w:before="62" w:beforeLines="20" w:after="62" w:afterLines="20"/>
              <w:jc w:val="center"/>
              <w:rPr>
                <w:rFonts w:eastAsia="仿宋_GB2312"/>
                <w:sz w:val="24"/>
              </w:rPr>
            </w:pPr>
            <w:r>
              <w:rPr>
                <w:rFonts w:eastAsia="仿宋_GB2312"/>
                <w:sz w:val="24"/>
              </w:rPr>
              <w:t>1</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云浮市财政局</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eastAsia="仿宋_GB2312"/>
                <w:sz w:val="24"/>
              </w:rPr>
              <w:t>2</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云浮市住房和城乡建设局</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eastAsia="仿宋_GB2312"/>
                <w:sz w:val="24"/>
              </w:rPr>
              <w:t>3</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国家税务总局云浮市税务局</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eastAsia="仿宋_GB2312"/>
                <w:sz w:val="24"/>
              </w:rPr>
              <w:t>4</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云浮市市场监督管理局</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eastAsia="仿宋_GB2312"/>
                <w:sz w:val="24"/>
              </w:rPr>
              <w:t>5</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云浮市</w:t>
            </w:r>
            <w:r>
              <w:rPr>
                <w:rFonts w:eastAsia="仿宋_GB2312"/>
                <w:sz w:val="24"/>
              </w:rPr>
              <w:t>云城区自然资源局</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1、标定区域划分参考的原则</w:t>
            </w:r>
            <w:bookmarkStart w:id="0" w:name="_GoBack"/>
            <w:bookmarkEnd w:id="0"/>
            <w:r>
              <w:rPr>
                <w:rFonts w:hint="eastAsia" w:eastAsia="仿宋_GB2312"/>
                <w:sz w:val="24"/>
              </w:rPr>
              <w:t>和依据有哪些？</w:t>
            </w:r>
          </w:p>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2、标定地价是否只用于出让评估，建议推广应用。</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回复</w:t>
            </w:r>
            <w:r>
              <w:rPr>
                <w:rFonts w:hint="eastAsia" w:eastAsia="仿宋_GB2312"/>
                <w:sz w:val="24"/>
              </w:rPr>
              <w:t>1：标定区域的划分原则主要有三个方面，第一是均质均价原则，土地利用类型、现状利用状况、规划情况等相似，主导用途地价水平相近等，划分为同一个标定区域；第二个管理便利原则是标定区域界线不宜突破行政区划、产业区划等界线和土地级别；第三个是宗地完整原则，标定区域界线内应保持内部宗地完整性，不能破宗地红线。云城区标定区域的划分原则，根据宗地现状开发或规划的具体情况，一般是成熟一片划一片，将开发情况相似、地价水平相近的区域，在不跨级、不破宗地红线的情况下，根据宗地内主导用途划分为各种用途的标定区域。</w:t>
            </w:r>
          </w:p>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回复2：标定地价应用方向包括出让地价评估、土地资产处置、土地资产抵押、税费确定依据等等，目前在体系建设阶段，评估对象需在标定区域范围内才可应用，但随着标定地价进行年度更新，标定区域范围的覆盖度逐步增加，也会提高其应用的程度和扩大其应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eastAsia="仿宋_GB2312"/>
                <w:sz w:val="24"/>
              </w:rPr>
              <w:t>6</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云城区云城街道办事处</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7</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云城区高峰街道办事处</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8</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云城区河口街道办事处</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b/>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9</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云城区安塘街道办事处</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10</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云城区思劳镇人民政府</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标定区域的划分是否有与最新的规划衔接</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回复</w:t>
            </w:r>
            <w:r>
              <w:rPr>
                <w:rFonts w:hint="eastAsia" w:eastAsia="仿宋_GB2312"/>
                <w:sz w:val="24"/>
              </w:rPr>
              <w:t>：本轮2022年度</w:t>
            </w:r>
            <w:r>
              <w:rPr>
                <w:rFonts w:eastAsia="仿宋_GB2312"/>
                <w:sz w:val="24"/>
              </w:rPr>
              <w:t>的标定区域划分均已结合现行最新的土地利用总体规划和云城区各组团的控制性详规进行</w:t>
            </w:r>
            <w:r>
              <w:rPr>
                <w:rFonts w:hint="eastAsia" w:eastAsia="仿宋_GB2312"/>
                <w:sz w:val="24"/>
              </w:rPr>
              <w:t>了衔接。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11</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云城区腰古镇人民政府</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12</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云城区南盛镇人民政府</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13</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云城区前锋镇人民政府</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14</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广东宇恒土地房地产与资产评估有限公司</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1、听证材料第30页中的工业地价均价为376元/</w:t>
            </w:r>
            <w:r>
              <w:rPr>
                <w:rFonts w:hint="eastAsia" w:ascii="宋体" w:hAnsi="宋体"/>
                <w:sz w:val="24"/>
              </w:rPr>
              <w:t>㎡</w:t>
            </w:r>
            <w:r>
              <w:rPr>
                <w:rFonts w:hint="eastAsia" w:eastAsia="仿宋_GB2312"/>
                <w:sz w:val="24"/>
              </w:rPr>
              <w:t>，而标定区域内的较大部分标准宗地的价格都在1000-2000元/</w:t>
            </w:r>
            <w:r>
              <w:rPr>
                <w:rFonts w:hint="eastAsia" w:ascii="宋体" w:hAnsi="宋体"/>
                <w:sz w:val="24"/>
              </w:rPr>
              <w:t>㎡</w:t>
            </w:r>
            <w:r>
              <w:rPr>
                <w:rFonts w:hint="eastAsia" w:eastAsia="仿宋_GB2312"/>
                <w:sz w:val="24"/>
              </w:rPr>
              <w:t>，价差较大的原因是？</w:t>
            </w:r>
          </w:p>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2、标定地价是否会公布相关的修正体系？</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回复</w:t>
            </w:r>
            <w:r>
              <w:rPr>
                <w:rFonts w:hint="eastAsia" w:eastAsia="仿宋_GB2312"/>
                <w:sz w:val="24"/>
              </w:rPr>
              <w:t>1、由于平均地价的统计口径为标准宗地净用地面积，由标准宗地按照对应的综合单价进行面积加权计算所得，非算术平均计算均价，位于河口街道、安塘街道的工业地价相对较高，虽数量多，但其标准宗地面积较小，而位于思劳、腰古产业园范围内的工业地价相对石材工业地价较低，但宗地面积较大，地价高的宗地，用地面积占比小，地价较低的宗地面积占比较大，因此，进行加权平均后统计的平均价格会更接近面积占比大的宗地价格。</w:t>
            </w:r>
          </w:p>
          <w:p>
            <w:pPr>
              <w:adjustRightInd w:val="0"/>
              <w:snapToGrid w:val="0"/>
              <w:spacing w:before="62" w:beforeLines="20" w:after="62" w:afterLines="20"/>
              <w:ind w:firstLine="480" w:firstLineChars="200"/>
              <w:jc w:val="left"/>
              <w:rPr>
                <w:rFonts w:eastAsia="仿宋_GB2312"/>
                <w:sz w:val="24"/>
              </w:rPr>
            </w:pPr>
            <w:r>
              <w:rPr>
                <w:rFonts w:eastAsia="仿宋_GB2312"/>
                <w:sz w:val="24"/>
              </w:rPr>
              <w:t>回复</w:t>
            </w:r>
            <w:r>
              <w:rPr>
                <w:rFonts w:hint="eastAsia" w:eastAsia="仿宋_GB2312"/>
                <w:sz w:val="24"/>
              </w:rPr>
              <w:t>2、在公布标定地价时，会有相应的修正体系同步公布。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15</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云浮市达信土地房地产资产估价有限公司</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1、安塘格木桥石材基地三期是否划入最新的标定地价范围内？</w:t>
            </w:r>
          </w:p>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2、思劳镇圆周山I区的商服用地地面地价579元/㎡，是否较低？</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回复</w:t>
            </w:r>
            <w:r>
              <w:rPr>
                <w:rFonts w:hint="eastAsia" w:eastAsia="仿宋_GB2312"/>
                <w:sz w:val="24"/>
              </w:rPr>
              <w:t>1：本轮新增划分编号</w:t>
            </w:r>
            <w:r>
              <w:rPr>
                <w:rFonts w:eastAsia="仿宋_GB2312"/>
                <w:sz w:val="24"/>
              </w:rPr>
              <w:t>445302G0601024的</w:t>
            </w:r>
            <w:r>
              <w:rPr>
                <w:rFonts w:hint="eastAsia" w:eastAsia="仿宋_GB2312"/>
                <w:sz w:val="24"/>
              </w:rPr>
              <w:t>标定区域是包含了安塘格木桥石材基地三期的范围。</w:t>
            </w:r>
          </w:p>
          <w:p>
            <w:pPr>
              <w:adjustRightInd w:val="0"/>
              <w:snapToGrid w:val="0"/>
              <w:spacing w:before="62" w:beforeLines="20" w:after="62" w:afterLines="20"/>
              <w:ind w:firstLine="480" w:firstLineChars="200"/>
              <w:jc w:val="left"/>
              <w:rPr>
                <w:rFonts w:eastAsia="仿宋_GB2312"/>
                <w:sz w:val="24"/>
              </w:rPr>
            </w:pPr>
            <w:r>
              <w:rPr>
                <w:rFonts w:eastAsia="仿宋_GB2312"/>
                <w:sz w:val="24"/>
              </w:rPr>
              <w:t>回复</w:t>
            </w:r>
            <w:r>
              <w:rPr>
                <w:rFonts w:hint="eastAsia" w:eastAsia="仿宋_GB2312"/>
                <w:sz w:val="24"/>
              </w:rPr>
              <w:t>2：思劳镇圆周山I区由于其现状容积率为0.79，地面地价会显得较低，该宗地用途是商服用地，最终应用的地价应参考首层楼面地价，本轮标定地价的首层楼面地价为</w:t>
            </w:r>
            <w:r>
              <w:rPr>
                <w:rFonts w:eastAsia="仿宋_GB2312"/>
                <w:sz w:val="24"/>
              </w:rPr>
              <w:t>864</w:t>
            </w:r>
            <w:r>
              <w:rPr>
                <w:rFonts w:hint="eastAsia" w:eastAsia="仿宋_GB2312"/>
                <w:sz w:val="24"/>
              </w:rPr>
              <w:t>元/㎡，是符合该区域的商服地价水平。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16</w:t>
            </w:r>
          </w:p>
        </w:tc>
        <w:tc>
          <w:tcPr>
            <w:tcW w:w="1118" w:type="pct"/>
            <w:vAlign w:val="center"/>
          </w:tcPr>
          <w:p>
            <w:pPr>
              <w:adjustRightInd w:val="0"/>
              <w:snapToGrid w:val="0"/>
              <w:spacing w:before="62" w:beforeLines="20" w:after="62" w:afterLines="20"/>
              <w:jc w:val="center"/>
              <w:rPr>
                <w:rFonts w:eastAsia="仿宋_GB2312"/>
                <w:sz w:val="24"/>
              </w:rPr>
            </w:pPr>
            <w:r>
              <w:rPr>
                <w:rFonts w:hint="eastAsia" w:eastAsia="仿宋_GB2312"/>
                <w:sz w:val="24"/>
              </w:rPr>
              <w:t>云浮市永信中土源土地与房地产评估有限公司</w:t>
            </w:r>
          </w:p>
        </w:tc>
        <w:tc>
          <w:tcPr>
            <w:tcW w:w="1580" w:type="pct"/>
            <w:vAlign w:val="center"/>
          </w:tcPr>
          <w:p>
            <w:pPr>
              <w:adjustRightInd w:val="0"/>
              <w:snapToGrid w:val="0"/>
              <w:spacing w:before="62" w:beforeLines="20" w:after="62" w:afterLines="20"/>
              <w:ind w:firstLine="480" w:firstLineChars="200"/>
              <w:jc w:val="left"/>
              <w:rPr>
                <w:rFonts w:eastAsia="仿宋_GB2312"/>
                <w:sz w:val="24"/>
              </w:rPr>
            </w:pPr>
            <w:r>
              <w:rPr>
                <w:rFonts w:eastAsia="仿宋_GB2312"/>
                <w:sz w:val="24"/>
              </w:rPr>
              <w:t>无意见</w:t>
            </w:r>
            <w:r>
              <w:rPr>
                <w:rFonts w:hint="eastAsia" w:eastAsia="仿宋_GB2312"/>
                <w:sz w:val="24"/>
              </w:rPr>
              <w:t>。</w:t>
            </w:r>
          </w:p>
        </w:tc>
        <w:tc>
          <w:tcPr>
            <w:tcW w:w="2036" w:type="pct"/>
            <w:vAlign w:val="center"/>
          </w:tcPr>
          <w:p>
            <w:pPr>
              <w:adjustRightInd w:val="0"/>
              <w:snapToGrid w:val="0"/>
              <w:spacing w:before="62" w:beforeLines="20" w:after="62" w:afterLines="20"/>
              <w:ind w:firstLine="480" w:firstLineChars="200"/>
              <w:jc w:val="left"/>
              <w:rPr>
                <w:rFonts w:eastAsia="仿宋_GB2312"/>
                <w:sz w:val="24"/>
              </w:rPr>
            </w:pPr>
            <w:r>
              <w:rPr>
                <w:rFonts w:hint="eastAsia" w:eastAsia="仿宋_GB2312"/>
                <w:sz w:val="24"/>
              </w:rPr>
              <w:t>——</w:t>
            </w: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NzA5M2JlOGIxODQ5ZTg4MTEzMDRhNmFiMDQxNTgifQ=="/>
  </w:docVars>
  <w:rsids>
    <w:rsidRoot w:val="00821B03"/>
    <w:rsid w:val="00012F8C"/>
    <w:rsid w:val="00055C99"/>
    <w:rsid w:val="000616F9"/>
    <w:rsid w:val="000B1390"/>
    <w:rsid w:val="000B202B"/>
    <w:rsid w:val="00154635"/>
    <w:rsid w:val="0022346F"/>
    <w:rsid w:val="00223618"/>
    <w:rsid w:val="00223877"/>
    <w:rsid w:val="00280E76"/>
    <w:rsid w:val="002E23C1"/>
    <w:rsid w:val="003120B9"/>
    <w:rsid w:val="003504AC"/>
    <w:rsid w:val="00351664"/>
    <w:rsid w:val="00387EA7"/>
    <w:rsid w:val="003D0FB8"/>
    <w:rsid w:val="003F3CF0"/>
    <w:rsid w:val="003F7155"/>
    <w:rsid w:val="004717BA"/>
    <w:rsid w:val="004F5DD6"/>
    <w:rsid w:val="005121C7"/>
    <w:rsid w:val="005210B5"/>
    <w:rsid w:val="00532429"/>
    <w:rsid w:val="005A7A94"/>
    <w:rsid w:val="005B1189"/>
    <w:rsid w:val="005B4CC3"/>
    <w:rsid w:val="006150B6"/>
    <w:rsid w:val="00653A9B"/>
    <w:rsid w:val="006728BF"/>
    <w:rsid w:val="006E028F"/>
    <w:rsid w:val="006E0BAE"/>
    <w:rsid w:val="006E3BF5"/>
    <w:rsid w:val="006E72A9"/>
    <w:rsid w:val="006F7F9D"/>
    <w:rsid w:val="00711841"/>
    <w:rsid w:val="00784381"/>
    <w:rsid w:val="00786027"/>
    <w:rsid w:val="007A7A83"/>
    <w:rsid w:val="007B6E3D"/>
    <w:rsid w:val="0081022D"/>
    <w:rsid w:val="008179AE"/>
    <w:rsid w:val="00821B03"/>
    <w:rsid w:val="008559D4"/>
    <w:rsid w:val="008807F0"/>
    <w:rsid w:val="0089164E"/>
    <w:rsid w:val="008B69AA"/>
    <w:rsid w:val="008C215E"/>
    <w:rsid w:val="008D762C"/>
    <w:rsid w:val="008E1CE9"/>
    <w:rsid w:val="009A24E7"/>
    <w:rsid w:val="009B230C"/>
    <w:rsid w:val="009C7508"/>
    <w:rsid w:val="009C77D5"/>
    <w:rsid w:val="009D1A03"/>
    <w:rsid w:val="009D340F"/>
    <w:rsid w:val="009F7377"/>
    <w:rsid w:val="00A61718"/>
    <w:rsid w:val="00A732CD"/>
    <w:rsid w:val="00A73C54"/>
    <w:rsid w:val="00AA3BC1"/>
    <w:rsid w:val="00AC75F3"/>
    <w:rsid w:val="00AF3BCA"/>
    <w:rsid w:val="00B32762"/>
    <w:rsid w:val="00B375EB"/>
    <w:rsid w:val="00B62F6E"/>
    <w:rsid w:val="00BC24B2"/>
    <w:rsid w:val="00BC2B9D"/>
    <w:rsid w:val="00BC33C4"/>
    <w:rsid w:val="00C03AED"/>
    <w:rsid w:val="00C73314"/>
    <w:rsid w:val="00C95B91"/>
    <w:rsid w:val="00C96251"/>
    <w:rsid w:val="00C96CFE"/>
    <w:rsid w:val="00CF5D5C"/>
    <w:rsid w:val="00D431BD"/>
    <w:rsid w:val="00D77257"/>
    <w:rsid w:val="00D85267"/>
    <w:rsid w:val="00DB0C4C"/>
    <w:rsid w:val="00E03608"/>
    <w:rsid w:val="00E04BDD"/>
    <w:rsid w:val="00E17334"/>
    <w:rsid w:val="00E60609"/>
    <w:rsid w:val="00E7109F"/>
    <w:rsid w:val="00E80D7B"/>
    <w:rsid w:val="00E83F53"/>
    <w:rsid w:val="00E93811"/>
    <w:rsid w:val="00E94B95"/>
    <w:rsid w:val="00EA45EE"/>
    <w:rsid w:val="00EC5E8E"/>
    <w:rsid w:val="00ED2447"/>
    <w:rsid w:val="00ED3F01"/>
    <w:rsid w:val="00F323BD"/>
    <w:rsid w:val="00FE5EA2"/>
    <w:rsid w:val="22FA7CE7"/>
    <w:rsid w:val="4FAC1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uiPriority w:val="99"/>
    <w:rPr>
      <w:kern w:val="2"/>
      <w:sz w:val="18"/>
      <w:szCs w:val="18"/>
    </w:rPr>
  </w:style>
  <w:style w:type="character" w:customStyle="1" w:styleId="14">
    <w:name w:val="批注文字 Char"/>
    <w:basedOn w:val="9"/>
    <w:link w:val="2"/>
    <w:semiHidden/>
    <w:uiPriority w:val="99"/>
    <w:rPr>
      <w:kern w:val="2"/>
      <w:sz w:val="21"/>
    </w:rPr>
  </w:style>
  <w:style w:type="character" w:customStyle="1" w:styleId="15">
    <w:name w:val="批注主题 Char"/>
    <w:basedOn w:val="14"/>
    <w:link w:val="6"/>
    <w:semiHidden/>
    <w:uiPriority w:val="99"/>
    <w:rPr>
      <w:b/>
      <w:bCs/>
      <w:kern w:val="2"/>
      <w:sz w:val="21"/>
    </w:rPr>
  </w:style>
  <w:style w:type="character" w:styleId="16">
    <w:name w:val="Placeholder Text"/>
    <w:basedOn w:val="9"/>
    <w:unhideWhenUsed/>
    <w:uiPriority w:val="99"/>
    <w:rPr>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1300</Words>
  <Characters>1344</Characters>
  <Lines>10</Lines>
  <Paragraphs>2</Paragraphs>
  <TotalTime>130</TotalTime>
  <ScaleCrop>false</ScaleCrop>
  <LinksUpToDate>false</LinksUpToDate>
  <CharactersWithSpaces>1344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2022-03-02T06:43:00Z</dcterms:created>
  <dc:creator>Administrator</dc:creator>
  <cp:lastModifiedBy>木的平方</cp:lastModifiedBy>
  <dcterms:modified xsi:type="dcterms:W3CDTF">2022-09-14T02:56:04Z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CFD0A649BDCA4C1999BE735E09CDD585</vt:lpwstr>
  </property>
</Properties>
</file>