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7D16F" w14:textId="0EEDA8C3" w:rsidR="00ED2447" w:rsidRDefault="008B69AA">
      <w:pPr>
        <w:shd w:val="solid" w:color="FFFFFF" w:fill="auto"/>
        <w:autoSpaceDN w:val="0"/>
        <w:adjustRightInd w:val="0"/>
        <w:snapToGrid w:val="0"/>
        <w:spacing w:line="360" w:lineRule="auto"/>
        <w:ind w:firstLine="640"/>
        <w:jc w:val="center"/>
        <w:rPr>
          <w:rFonts w:ascii="仿宋_GB2312" w:eastAsia="仿宋_GB2312" w:hAnsi="仿宋"/>
          <w:b/>
          <w:kern w:val="0"/>
          <w:sz w:val="30"/>
          <w:szCs w:val="30"/>
          <w:lang w:val="zh-CN"/>
        </w:rPr>
      </w:pPr>
      <w:r>
        <w:rPr>
          <w:rFonts w:ascii="仿宋_GB2312" w:eastAsia="仿宋_GB2312" w:hAnsi="仿宋" w:hint="eastAsia"/>
          <w:b/>
          <w:sz w:val="30"/>
          <w:szCs w:val="30"/>
          <w:shd w:val="clear" w:color="auto" w:fill="FFFFFF"/>
        </w:rPr>
        <w:t>《</w:t>
      </w:r>
      <w:r w:rsidR="008C215E" w:rsidRPr="008C215E">
        <w:rPr>
          <w:rFonts w:ascii="仿宋_GB2312" w:eastAsia="仿宋_GB2312" w:hAnsi="仿宋" w:hint="eastAsia"/>
          <w:b/>
          <w:kern w:val="0"/>
          <w:sz w:val="30"/>
          <w:szCs w:val="30"/>
          <w:lang w:val="zh-CN"/>
        </w:rPr>
        <w:t>云浮市云城区202</w:t>
      </w:r>
      <w:r w:rsidR="00F505B1">
        <w:rPr>
          <w:rFonts w:ascii="仿宋_GB2312" w:eastAsia="仿宋_GB2312" w:hAnsi="仿宋"/>
          <w:b/>
          <w:kern w:val="0"/>
          <w:sz w:val="30"/>
          <w:szCs w:val="30"/>
          <w:lang w:val="zh-CN"/>
        </w:rPr>
        <w:t>3</w:t>
      </w:r>
      <w:r w:rsidR="008C215E" w:rsidRPr="008C215E">
        <w:rPr>
          <w:rFonts w:ascii="仿宋_GB2312" w:eastAsia="仿宋_GB2312" w:hAnsi="仿宋" w:hint="eastAsia"/>
          <w:b/>
          <w:kern w:val="0"/>
          <w:sz w:val="30"/>
          <w:szCs w:val="30"/>
          <w:lang w:val="zh-CN"/>
        </w:rPr>
        <w:t>年</w:t>
      </w:r>
      <w:r w:rsidR="004717BA">
        <w:rPr>
          <w:rFonts w:ascii="仿宋_GB2312" w:eastAsia="仿宋_GB2312" w:hAnsi="仿宋" w:hint="eastAsia"/>
          <w:b/>
          <w:kern w:val="0"/>
          <w:sz w:val="30"/>
          <w:szCs w:val="30"/>
          <w:lang w:val="zh-CN"/>
        </w:rPr>
        <w:t>度城镇</w:t>
      </w:r>
      <w:r w:rsidR="008C215E" w:rsidRPr="008C215E">
        <w:rPr>
          <w:rFonts w:ascii="仿宋_GB2312" w:eastAsia="仿宋_GB2312" w:hAnsi="仿宋" w:hint="eastAsia"/>
          <w:b/>
          <w:kern w:val="0"/>
          <w:sz w:val="30"/>
          <w:szCs w:val="30"/>
          <w:lang w:val="zh-CN"/>
        </w:rPr>
        <w:t>国有建设用地</w:t>
      </w:r>
      <w:r w:rsidR="004717BA">
        <w:rPr>
          <w:rFonts w:ascii="仿宋_GB2312" w:eastAsia="仿宋_GB2312" w:hAnsi="仿宋" w:hint="eastAsia"/>
          <w:b/>
          <w:kern w:val="0"/>
          <w:sz w:val="30"/>
          <w:szCs w:val="30"/>
          <w:lang w:val="zh-CN"/>
        </w:rPr>
        <w:t>标定</w:t>
      </w:r>
      <w:r w:rsidR="008C215E" w:rsidRPr="008C215E">
        <w:rPr>
          <w:rFonts w:ascii="仿宋_GB2312" w:eastAsia="仿宋_GB2312" w:hAnsi="仿宋" w:hint="eastAsia"/>
          <w:b/>
          <w:kern w:val="0"/>
          <w:sz w:val="30"/>
          <w:szCs w:val="30"/>
          <w:lang w:val="zh-CN"/>
        </w:rPr>
        <w:t>地价更新项目</w:t>
      </w:r>
      <w:r>
        <w:rPr>
          <w:rFonts w:ascii="仿宋_GB2312" w:eastAsia="仿宋_GB2312" w:hAnsi="仿宋" w:hint="eastAsia"/>
          <w:b/>
          <w:kern w:val="0"/>
          <w:sz w:val="30"/>
          <w:szCs w:val="30"/>
          <w:lang w:val="zh-CN"/>
        </w:rPr>
        <w:t>》</w:t>
      </w:r>
      <w:r w:rsidR="00BC2B9D" w:rsidRPr="008C215E">
        <w:rPr>
          <w:rFonts w:ascii="仿宋_GB2312" w:eastAsia="仿宋_GB2312" w:hAnsi="仿宋" w:hint="eastAsia"/>
          <w:b/>
          <w:kern w:val="0"/>
          <w:sz w:val="30"/>
          <w:szCs w:val="30"/>
          <w:lang w:val="zh-CN"/>
        </w:rPr>
        <w:t>成果</w:t>
      </w:r>
      <w:r>
        <w:rPr>
          <w:rFonts w:ascii="仿宋_GB2312" w:eastAsia="仿宋_GB2312" w:hAnsi="仿宋" w:hint="eastAsia"/>
          <w:b/>
          <w:kern w:val="0"/>
          <w:sz w:val="30"/>
          <w:szCs w:val="30"/>
          <w:lang w:val="zh-CN"/>
        </w:rPr>
        <w:t>听证会意见采纳情况表</w:t>
      </w:r>
    </w:p>
    <w:tbl>
      <w:tblPr>
        <w:tblStyle w:val="a5"/>
        <w:tblW w:w="5062" w:type="pct"/>
        <w:jc w:val="center"/>
        <w:tblLook w:val="04A0" w:firstRow="1" w:lastRow="0" w:firstColumn="1" w:lastColumn="0" w:noHBand="0" w:noVBand="1"/>
      </w:tblPr>
      <w:tblGrid>
        <w:gridCol w:w="764"/>
        <w:gridCol w:w="3349"/>
        <w:gridCol w:w="4394"/>
        <w:gridCol w:w="5843"/>
      </w:tblGrid>
      <w:tr w:rsidR="00ED2447" w14:paraId="246E862B" w14:textId="77777777" w:rsidTr="00351BDB">
        <w:trPr>
          <w:tblHeader/>
          <w:jc w:val="center"/>
        </w:trPr>
        <w:tc>
          <w:tcPr>
            <w:tcW w:w="266" w:type="pct"/>
            <w:vAlign w:val="center"/>
          </w:tcPr>
          <w:p w14:paraId="525A686A" w14:textId="77777777" w:rsidR="00ED2447" w:rsidRDefault="008B69AA" w:rsidP="008559D4">
            <w:pPr>
              <w:adjustRightInd w:val="0"/>
              <w:snapToGrid w:val="0"/>
              <w:spacing w:beforeLines="20" w:before="62" w:afterLines="20" w:after="62"/>
              <w:jc w:val="center"/>
              <w:rPr>
                <w:rFonts w:eastAsia="仿宋_GB2312"/>
                <w:b/>
                <w:sz w:val="24"/>
              </w:rPr>
            </w:pPr>
            <w:r>
              <w:rPr>
                <w:rFonts w:eastAsia="仿宋_GB2312"/>
                <w:b/>
                <w:sz w:val="24"/>
              </w:rPr>
              <w:t>序号</w:t>
            </w:r>
          </w:p>
        </w:tc>
        <w:tc>
          <w:tcPr>
            <w:tcW w:w="1167" w:type="pct"/>
            <w:vAlign w:val="center"/>
          </w:tcPr>
          <w:p w14:paraId="71648338" w14:textId="77777777" w:rsidR="00ED2447" w:rsidRDefault="008B69AA" w:rsidP="008559D4">
            <w:pPr>
              <w:adjustRightInd w:val="0"/>
              <w:snapToGrid w:val="0"/>
              <w:spacing w:beforeLines="20" w:before="62" w:afterLines="20" w:after="62"/>
              <w:jc w:val="center"/>
              <w:rPr>
                <w:rFonts w:eastAsia="仿宋_GB2312"/>
                <w:b/>
                <w:sz w:val="24"/>
              </w:rPr>
            </w:pPr>
            <w:r>
              <w:rPr>
                <w:rFonts w:eastAsia="仿宋_GB2312"/>
                <w:b/>
                <w:sz w:val="24"/>
              </w:rPr>
              <w:t>单位名称</w:t>
            </w:r>
          </w:p>
        </w:tc>
        <w:tc>
          <w:tcPr>
            <w:tcW w:w="1531" w:type="pct"/>
            <w:vAlign w:val="center"/>
          </w:tcPr>
          <w:p w14:paraId="380AFDF2" w14:textId="77777777" w:rsidR="00ED2447" w:rsidRDefault="008B69AA" w:rsidP="008559D4">
            <w:pPr>
              <w:adjustRightInd w:val="0"/>
              <w:snapToGrid w:val="0"/>
              <w:spacing w:beforeLines="20" w:before="62" w:afterLines="20" w:after="62"/>
              <w:jc w:val="center"/>
              <w:rPr>
                <w:rFonts w:eastAsia="仿宋_GB2312"/>
                <w:b/>
                <w:sz w:val="24"/>
              </w:rPr>
            </w:pPr>
            <w:r>
              <w:rPr>
                <w:rFonts w:eastAsia="仿宋_GB2312"/>
                <w:b/>
                <w:sz w:val="24"/>
              </w:rPr>
              <w:t>意见</w:t>
            </w:r>
            <w:r>
              <w:rPr>
                <w:rFonts w:eastAsia="仿宋_GB2312" w:hint="eastAsia"/>
                <w:b/>
                <w:sz w:val="24"/>
              </w:rPr>
              <w:t>/</w:t>
            </w:r>
            <w:r>
              <w:rPr>
                <w:rFonts w:eastAsia="仿宋_GB2312" w:hint="eastAsia"/>
                <w:b/>
                <w:sz w:val="24"/>
              </w:rPr>
              <w:t>建议</w:t>
            </w:r>
          </w:p>
        </w:tc>
        <w:tc>
          <w:tcPr>
            <w:tcW w:w="2036" w:type="pct"/>
            <w:vAlign w:val="center"/>
          </w:tcPr>
          <w:p w14:paraId="18BCF778" w14:textId="77777777" w:rsidR="00ED2447" w:rsidRDefault="008B69AA" w:rsidP="008559D4">
            <w:pPr>
              <w:adjustRightInd w:val="0"/>
              <w:snapToGrid w:val="0"/>
              <w:spacing w:beforeLines="20" w:before="62" w:afterLines="20" w:after="62"/>
              <w:jc w:val="center"/>
              <w:rPr>
                <w:rFonts w:eastAsia="仿宋_GB2312"/>
                <w:b/>
                <w:sz w:val="24"/>
              </w:rPr>
            </w:pPr>
            <w:r>
              <w:rPr>
                <w:rFonts w:eastAsia="仿宋_GB2312" w:hint="eastAsia"/>
                <w:b/>
                <w:sz w:val="24"/>
              </w:rPr>
              <w:t>采纳情况或</w:t>
            </w:r>
            <w:r>
              <w:rPr>
                <w:rFonts w:eastAsia="仿宋_GB2312"/>
                <w:b/>
                <w:sz w:val="24"/>
              </w:rPr>
              <w:t>回复</w:t>
            </w:r>
          </w:p>
        </w:tc>
      </w:tr>
      <w:tr w:rsidR="00987702" w14:paraId="78E14D3E" w14:textId="77777777" w:rsidTr="00351BDB">
        <w:trPr>
          <w:trHeight w:val="235"/>
          <w:jc w:val="center"/>
        </w:trPr>
        <w:tc>
          <w:tcPr>
            <w:tcW w:w="266" w:type="pct"/>
            <w:vAlign w:val="center"/>
          </w:tcPr>
          <w:p w14:paraId="4941E59A" w14:textId="0D4AA79A"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1</w:t>
            </w:r>
          </w:p>
        </w:tc>
        <w:tc>
          <w:tcPr>
            <w:tcW w:w="1167" w:type="pct"/>
            <w:vAlign w:val="center"/>
          </w:tcPr>
          <w:p w14:paraId="0012314C" w14:textId="73DEB21D" w:rsidR="00987702" w:rsidRPr="00F505B1" w:rsidRDefault="00987702" w:rsidP="008559D4">
            <w:pPr>
              <w:adjustRightInd w:val="0"/>
              <w:snapToGrid w:val="0"/>
              <w:spacing w:beforeLines="20" w:before="62" w:afterLines="20" w:after="62"/>
              <w:jc w:val="center"/>
              <w:rPr>
                <w:rFonts w:eastAsia="仿宋_GB2312"/>
                <w:sz w:val="24"/>
              </w:rPr>
            </w:pPr>
            <w:r>
              <w:rPr>
                <w:rFonts w:eastAsia="仿宋_GB2312" w:hint="eastAsia"/>
                <w:sz w:val="24"/>
              </w:rPr>
              <w:t>云浮市财政局</w:t>
            </w:r>
          </w:p>
        </w:tc>
        <w:tc>
          <w:tcPr>
            <w:tcW w:w="1531" w:type="pct"/>
            <w:vAlign w:val="center"/>
          </w:tcPr>
          <w:p w14:paraId="54F9D6BF" w14:textId="327F78CA" w:rsidR="00987702" w:rsidRPr="00987702" w:rsidRDefault="00987702" w:rsidP="00987702">
            <w:pPr>
              <w:adjustRightInd w:val="0"/>
              <w:snapToGrid w:val="0"/>
              <w:spacing w:beforeLines="20" w:before="62" w:afterLines="20" w:after="62"/>
              <w:jc w:val="center"/>
              <w:rPr>
                <w:rFonts w:eastAsia="仿宋_GB2312"/>
                <w:sz w:val="24"/>
              </w:rPr>
            </w:pPr>
            <w:r w:rsidRPr="00987702">
              <w:rPr>
                <w:rFonts w:eastAsia="仿宋_GB2312"/>
                <w:sz w:val="24"/>
              </w:rPr>
              <w:t>无意见</w:t>
            </w:r>
            <w:r w:rsidRPr="00987702">
              <w:rPr>
                <w:rFonts w:eastAsia="仿宋_GB2312" w:hint="eastAsia"/>
                <w:sz w:val="24"/>
              </w:rPr>
              <w:t>。</w:t>
            </w:r>
          </w:p>
        </w:tc>
        <w:tc>
          <w:tcPr>
            <w:tcW w:w="2036" w:type="pct"/>
            <w:vAlign w:val="center"/>
          </w:tcPr>
          <w:p w14:paraId="0FB048B0" w14:textId="695546ED" w:rsidR="00987702" w:rsidRP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w:t>
            </w:r>
          </w:p>
        </w:tc>
      </w:tr>
      <w:tr w:rsidR="00987702" w14:paraId="227EF315" w14:textId="77777777" w:rsidTr="00351BDB">
        <w:trPr>
          <w:trHeight w:val="235"/>
          <w:jc w:val="center"/>
        </w:trPr>
        <w:tc>
          <w:tcPr>
            <w:tcW w:w="266" w:type="pct"/>
            <w:vAlign w:val="center"/>
          </w:tcPr>
          <w:p w14:paraId="3F1DF5B7" w14:textId="040C77AC"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2</w:t>
            </w:r>
          </w:p>
        </w:tc>
        <w:tc>
          <w:tcPr>
            <w:tcW w:w="1167" w:type="pct"/>
            <w:vAlign w:val="center"/>
          </w:tcPr>
          <w:p w14:paraId="7B683C01" w14:textId="67C9EE30" w:rsidR="00987702" w:rsidRDefault="00987702" w:rsidP="008559D4">
            <w:pPr>
              <w:adjustRightInd w:val="0"/>
              <w:snapToGrid w:val="0"/>
              <w:spacing w:beforeLines="20" w:before="62" w:afterLines="20" w:after="62"/>
              <w:jc w:val="center"/>
              <w:rPr>
                <w:rFonts w:eastAsia="仿宋_GB2312"/>
                <w:sz w:val="24"/>
              </w:rPr>
            </w:pPr>
            <w:r w:rsidRPr="00F505B1">
              <w:rPr>
                <w:rFonts w:eastAsia="仿宋_GB2312" w:hint="eastAsia"/>
                <w:sz w:val="24"/>
              </w:rPr>
              <w:t>云浮市住房和城乡建设局</w:t>
            </w:r>
          </w:p>
        </w:tc>
        <w:tc>
          <w:tcPr>
            <w:tcW w:w="1531" w:type="pct"/>
            <w:vAlign w:val="center"/>
          </w:tcPr>
          <w:p w14:paraId="65844174" w14:textId="7F75E350" w:rsidR="00987702" w:rsidRPr="00987702" w:rsidRDefault="00D67691" w:rsidP="00987702">
            <w:pPr>
              <w:pStyle w:val="3"/>
              <w:adjustRightInd w:val="0"/>
              <w:snapToGrid w:val="0"/>
              <w:spacing w:before="0" w:after="0" w:line="240" w:lineRule="auto"/>
              <w:rPr>
                <w:rFonts w:eastAsia="仿宋_GB2312"/>
                <w:sz w:val="24"/>
              </w:rPr>
            </w:pPr>
            <w:r w:rsidRPr="00D67691">
              <w:rPr>
                <w:rFonts w:eastAsia="仿宋_GB2312" w:hint="eastAsia"/>
                <w:b w:val="0"/>
                <w:bCs w:val="0"/>
                <w:sz w:val="24"/>
                <w:szCs w:val="20"/>
              </w:rPr>
              <w:t>1</w:t>
            </w:r>
            <w:r w:rsidRPr="00D67691">
              <w:rPr>
                <w:rFonts w:eastAsia="仿宋_GB2312" w:hint="eastAsia"/>
                <w:b w:val="0"/>
                <w:bCs w:val="0"/>
                <w:sz w:val="24"/>
                <w:szCs w:val="20"/>
              </w:rPr>
              <w:t>、对更新项目成果没意见；</w:t>
            </w:r>
            <w:r w:rsidRPr="00D67691">
              <w:rPr>
                <w:rFonts w:eastAsia="仿宋_GB2312" w:hint="eastAsia"/>
                <w:b w:val="0"/>
                <w:bCs w:val="0"/>
                <w:sz w:val="24"/>
                <w:szCs w:val="20"/>
              </w:rPr>
              <w:t>2</w:t>
            </w:r>
            <w:r w:rsidRPr="00D67691">
              <w:rPr>
                <w:rFonts w:eastAsia="仿宋_GB2312" w:hint="eastAsia"/>
                <w:b w:val="0"/>
                <w:bCs w:val="0"/>
                <w:sz w:val="24"/>
                <w:szCs w:val="20"/>
              </w:rPr>
              <w:t>建议加强标定地价成果在房地产估价方面应用</w:t>
            </w:r>
            <w:bookmarkStart w:id="0" w:name="_GoBack"/>
            <w:bookmarkEnd w:id="0"/>
            <w:r w:rsidRPr="00D67691">
              <w:rPr>
                <w:rFonts w:eastAsia="仿宋_GB2312" w:hint="eastAsia"/>
                <w:b w:val="0"/>
                <w:bCs w:val="0"/>
                <w:sz w:val="24"/>
                <w:szCs w:val="20"/>
              </w:rPr>
              <w:t>的宣传。</w:t>
            </w:r>
          </w:p>
        </w:tc>
        <w:tc>
          <w:tcPr>
            <w:tcW w:w="2036" w:type="pct"/>
            <w:vAlign w:val="center"/>
          </w:tcPr>
          <w:p w14:paraId="4C02CCFD" w14:textId="20EDB151" w:rsidR="00987702" w:rsidRPr="00987702" w:rsidRDefault="00D67691" w:rsidP="00D67691">
            <w:pPr>
              <w:adjustRightInd w:val="0"/>
              <w:snapToGrid w:val="0"/>
              <w:textAlignment w:val="bottom"/>
              <w:rPr>
                <w:rFonts w:eastAsia="仿宋_GB2312"/>
                <w:sz w:val="24"/>
              </w:rPr>
            </w:pPr>
            <w:r w:rsidRPr="00D67691">
              <w:rPr>
                <w:rFonts w:eastAsia="仿宋_GB2312" w:hint="eastAsia"/>
                <w:sz w:val="24"/>
              </w:rPr>
              <w:t>技术单位回复：房地产与土地的评估是有区别的，一般房地产的价格会包含建筑物价值和土地价值，当需评估其中土地价格部分，满足相关条件的情况下可以参考应用标定地价，在未来标定地价体系建设越来越成熟后，标定地价的应用会</w:t>
            </w:r>
            <w:r>
              <w:rPr>
                <w:rFonts w:eastAsia="仿宋_GB2312" w:hint="eastAsia"/>
                <w:sz w:val="24"/>
              </w:rPr>
              <w:t>越来越频繁，我们会配合市自然资源局局通过政策解读等方式进行宣传</w:t>
            </w:r>
            <w:r w:rsidR="00987702" w:rsidRPr="00987702">
              <w:rPr>
                <w:rFonts w:eastAsia="仿宋_GB2312" w:hint="eastAsia"/>
                <w:sz w:val="24"/>
              </w:rPr>
              <w:t>。</w:t>
            </w:r>
          </w:p>
        </w:tc>
      </w:tr>
      <w:tr w:rsidR="00987702" w14:paraId="32F7F182" w14:textId="77777777" w:rsidTr="00351BDB">
        <w:trPr>
          <w:jc w:val="center"/>
        </w:trPr>
        <w:tc>
          <w:tcPr>
            <w:tcW w:w="266" w:type="pct"/>
            <w:vAlign w:val="center"/>
          </w:tcPr>
          <w:p w14:paraId="7B40390D" w14:textId="6D57A1DA"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3</w:t>
            </w:r>
          </w:p>
        </w:tc>
        <w:tc>
          <w:tcPr>
            <w:tcW w:w="1167" w:type="pct"/>
            <w:vAlign w:val="center"/>
          </w:tcPr>
          <w:p w14:paraId="69D9B26A" w14:textId="7B58191A" w:rsidR="00987702" w:rsidRDefault="00987702" w:rsidP="008559D4">
            <w:pPr>
              <w:adjustRightInd w:val="0"/>
              <w:snapToGrid w:val="0"/>
              <w:spacing w:beforeLines="20" w:before="62" w:afterLines="20" w:after="62"/>
              <w:jc w:val="center"/>
              <w:rPr>
                <w:rFonts w:eastAsia="仿宋_GB2312"/>
                <w:sz w:val="24"/>
              </w:rPr>
            </w:pPr>
            <w:r w:rsidRPr="00F505B1">
              <w:rPr>
                <w:rFonts w:eastAsia="仿宋_GB2312" w:hint="eastAsia"/>
                <w:sz w:val="24"/>
              </w:rPr>
              <w:t>云城区自然资源局</w:t>
            </w:r>
          </w:p>
        </w:tc>
        <w:tc>
          <w:tcPr>
            <w:tcW w:w="1531" w:type="pct"/>
            <w:vAlign w:val="center"/>
          </w:tcPr>
          <w:p w14:paraId="5F9E6EBD" w14:textId="6CEA3ED1"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无意见</w:t>
            </w:r>
            <w:r>
              <w:rPr>
                <w:rFonts w:eastAsia="仿宋_GB2312" w:hint="eastAsia"/>
                <w:sz w:val="24"/>
              </w:rPr>
              <w:t>。</w:t>
            </w:r>
          </w:p>
        </w:tc>
        <w:tc>
          <w:tcPr>
            <w:tcW w:w="2036" w:type="pct"/>
            <w:vAlign w:val="center"/>
          </w:tcPr>
          <w:p w14:paraId="5C0B2785" w14:textId="7178CC96"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w:t>
            </w:r>
          </w:p>
        </w:tc>
      </w:tr>
      <w:tr w:rsidR="00987702" w14:paraId="644CD8F3" w14:textId="77777777" w:rsidTr="00351BDB">
        <w:trPr>
          <w:jc w:val="center"/>
        </w:trPr>
        <w:tc>
          <w:tcPr>
            <w:tcW w:w="266" w:type="pct"/>
            <w:vAlign w:val="center"/>
          </w:tcPr>
          <w:p w14:paraId="6CF8DA0C" w14:textId="55E91404"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4</w:t>
            </w:r>
          </w:p>
        </w:tc>
        <w:tc>
          <w:tcPr>
            <w:tcW w:w="1167" w:type="pct"/>
            <w:vAlign w:val="center"/>
          </w:tcPr>
          <w:p w14:paraId="21D1E5B0" w14:textId="3AC45387" w:rsidR="00987702" w:rsidRDefault="00987702" w:rsidP="008559D4">
            <w:pPr>
              <w:adjustRightInd w:val="0"/>
              <w:snapToGrid w:val="0"/>
              <w:spacing w:beforeLines="20" w:before="62" w:afterLines="20" w:after="62"/>
              <w:jc w:val="center"/>
              <w:rPr>
                <w:rFonts w:eastAsia="仿宋_GB2312"/>
                <w:sz w:val="24"/>
              </w:rPr>
            </w:pPr>
            <w:r w:rsidRPr="00F505B1">
              <w:rPr>
                <w:rFonts w:eastAsia="仿宋_GB2312" w:hint="eastAsia"/>
                <w:sz w:val="24"/>
              </w:rPr>
              <w:t>云城区云城街道办事处</w:t>
            </w:r>
          </w:p>
        </w:tc>
        <w:tc>
          <w:tcPr>
            <w:tcW w:w="1531" w:type="pct"/>
            <w:vAlign w:val="center"/>
          </w:tcPr>
          <w:p w14:paraId="3EE613F5" w14:textId="56F36A28"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无意见</w:t>
            </w:r>
            <w:r>
              <w:rPr>
                <w:rFonts w:eastAsia="仿宋_GB2312" w:hint="eastAsia"/>
                <w:sz w:val="24"/>
              </w:rPr>
              <w:t>。</w:t>
            </w:r>
          </w:p>
        </w:tc>
        <w:tc>
          <w:tcPr>
            <w:tcW w:w="2036" w:type="pct"/>
            <w:vAlign w:val="center"/>
          </w:tcPr>
          <w:p w14:paraId="048B0509" w14:textId="348CC892"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w:t>
            </w:r>
          </w:p>
        </w:tc>
      </w:tr>
      <w:tr w:rsidR="00987702" w14:paraId="36E81294" w14:textId="77777777" w:rsidTr="00351BDB">
        <w:trPr>
          <w:jc w:val="center"/>
        </w:trPr>
        <w:tc>
          <w:tcPr>
            <w:tcW w:w="266" w:type="pct"/>
            <w:vAlign w:val="center"/>
          </w:tcPr>
          <w:p w14:paraId="732BC255" w14:textId="69B1C5FA"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5</w:t>
            </w:r>
          </w:p>
        </w:tc>
        <w:tc>
          <w:tcPr>
            <w:tcW w:w="1167" w:type="pct"/>
            <w:vAlign w:val="center"/>
          </w:tcPr>
          <w:p w14:paraId="70CB31D5" w14:textId="2C7902F2" w:rsidR="00987702" w:rsidRDefault="00987702" w:rsidP="00223877">
            <w:pPr>
              <w:adjustRightInd w:val="0"/>
              <w:snapToGrid w:val="0"/>
              <w:spacing w:beforeLines="20" w:before="62" w:afterLines="20" w:after="62"/>
              <w:jc w:val="center"/>
              <w:rPr>
                <w:rFonts w:eastAsia="仿宋_GB2312"/>
                <w:sz w:val="24"/>
              </w:rPr>
            </w:pPr>
            <w:r w:rsidRPr="00F505B1">
              <w:rPr>
                <w:rFonts w:eastAsia="仿宋_GB2312" w:hint="eastAsia"/>
                <w:sz w:val="24"/>
              </w:rPr>
              <w:t>云城区高峰街道办事处</w:t>
            </w:r>
          </w:p>
        </w:tc>
        <w:tc>
          <w:tcPr>
            <w:tcW w:w="1531" w:type="pct"/>
            <w:vAlign w:val="center"/>
          </w:tcPr>
          <w:p w14:paraId="3E43BB6E" w14:textId="75D28ECB"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无意见</w:t>
            </w:r>
            <w:r>
              <w:rPr>
                <w:rFonts w:eastAsia="仿宋_GB2312" w:hint="eastAsia"/>
                <w:sz w:val="24"/>
              </w:rPr>
              <w:t>。</w:t>
            </w:r>
          </w:p>
        </w:tc>
        <w:tc>
          <w:tcPr>
            <w:tcW w:w="2036" w:type="pct"/>
            <w:vAlign w:val="center"/>
          </w:tcPr>
          <w:p w14:paraId="477A38F6" w14:textId="29BD083E"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w:t>
            </w:r>
          </w:p>
        </w:tc>
      </w:tr>
      <w:tr w:rsidR="00987702" w14:paraId="24844305" w14:textId="77777777" w:rsidTr="00351BDB">
        <w:trPr>
          <w:jc w:val="center"/>
        </w:trPr>
        <w:tc>
          <w:tcPr>
            <w:tcW w:w="266" w:type="pct"/>
            <w:vAlign w:val="center"/>
          </w:tcPr>
          <w:p w14:paraId="001D901C" w14:textId="6404F091"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6</w:t>
            </w:r>
          </w:p>
        </w:tc>
        <w:tc>
          <w:tcPr>
            <w:tcW w:w="1167" w:type="pct"/>
            <w:vAlign w:val="center"/>
          </w:tcPr>
          <w:p w14:paraId="092E3B92" w14:textId="74A109D7" w:rsidR="00987702" w:rsidRDefault="00987702" w:rsidP="00987702">
            <w:pPr>
              <w:adjustRightInd w:val="0"/>
              <w:snapToGrid w:val="0"/>
              <w:spacing w:beforeLines="20" w:before="62" w:afterLines="20" w:after="62"/>
              <w:jc w:val="center"/>
              <w:rPr>
                <w:rFonts w:eastAsia="仿宋_GB2312"/>
                <w:sz w:val="24"/>
              </w:rPr>
            </w:pPr>
            <w:r w:rsidRPr="00F505B1">
              <w:rPr>
                <w:rFonts w:eastAsia="仿宋_GB2312" w:hint="eastAsia"/>
                <w:sz w:val="24"/>
              </w:rPr>
              <w:t>云城区安塘街道办事处</w:t>
            </w:r>
          </w:p>
        </w:tc>
        <w:tc>
          <w:tcPr>
            <w:tcW w:w="1531" w:type="pct"/>
            <w:vAlign w:val="center"/>
          </w:tcPr>
          <w:p w14:paraId="4DB008C3" w14:textId="610368ED"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无意见</w:t>
            </w:r>
            <w:r>
              <w:rPr>
                <w:rFonts w:eastAsia="仿宋_GB2312" w:hint="eastAsia"/>
                <w:sz w:val="24"/>
              </w:rPr>
              <w:t>。</w:t>
            </w:r>
          </w:p>
        </w:tc>
        <w:tc>
          <w:tcPr>
            <w:tcW w:w="2036" w:type="pct"/>
            <w:vAlign w:val="center"/>
          </w:tcPr>
          <w:p w14:paraId="754CF5F2" w14:textId="7338A082"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w:t>
            </w:r>
          </w:p>
        </w:tc>
      </w:tr>
      <w:tr w:rsidR="00987702" w14:paraId="041F4BFC" w14:textId="77777777" w:rsidTr="00351BDB">
        <w:trPr>
          <w:jc w:val="center"/>
        </w:trPr>
        <w:tc>
          <w:tcPr>
            <w:tcW w:w="266" w:type="pct"/>
            <w:vAlign w:val="center"/>
          </w:tcPr>
          <w:p w14:paraId="010BE545" w14:textId="2C8DE855"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7</w:t>
            </w:r>
          </w:p>
        </w:tc>
        <w:tc>
          <w:tcPr>
            <w:tcW w:w="1167" w:type="pct"/>
            <w:vAlign w:val="center"/>
          </w:tcPr>
          <w:p w14:paraId="4067425C" w14:textId="5E7298E1" w:rsidR="00987702" w:rsidRDefault="00987702" w:rsidP="00987702">
            <w:pPr>
              <w:adjustRightInd w:val="0"/>
              <w:snapToGrid w:val="0"/>
              <w:spacing w:beforeLines="20" w:before="62" w:afterLines="20" w:after="62"/>
              <w:jc w:val="center"/>
              <w:rPr>
                <w:rFonts w:eastAsia="仿宋_GB2312"/>
                <w:sz w:val="24"/>
              </w:rPr>
            </w:pPr>
            <w:r w:rsidRPr="00F505B1">
              <w:rPr>
                <w:rFonts w:eastAsia="仿宋_GB2312" w:hint="eastAsia"/>
                <w:sz w:val="24"/>
              </w:rPr>
              <w:t>云城区腰古镇人民政府</w:t>
            </w:r>
          </w:p>
        </w:tc>
        <w:tc>
          <w:tcPr>
            <w:tcW w:w="1531" w:type="pct"/>
            <w:vAlign w:val="center"/>
          </w:tcPr>
          <w:p w14:paraId="5469A966" w14:textId="6D5FE11A"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无意见</w:t>
            </w:r>
            <w:r>
              <w:rPr>
                <w:rFonts w:eastAsia="仿宋_GB2312" w:hint="eastAsia"/>
                <w:sz w:val="24"/>
              </w:rPr>
              <w:t>。</w:t>
            </w:r>
          </w:p>
        </w:tc>
        <w:tc>
          <w:tcPr>
            <w:tcW w:w="2036" w:type="pct"/>
            <w:vAlign w:val="center"/>
          </w:tcPr>
          <w:p w14:paraId="74949B86" w14:textId="124B9BD5"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w:t>
            </w:r>
          </w:p>
        </w:tc>
      </w:tr>
      <w:tr w:rsidR="00987702" w14:paraId="49F40614" w14:textId="77777777" w:rsidTr="00351BDB">
        <w:trPr>
          <w:jc w:val="center"/>
        </w:trPr>
        <w:tc>
          <w:tcPr>
            <w:tcW w:w="266" w:type="pct"/>
            <w:vAlign w:val="center"/>
          </w:tcPr>
          <w:p w14:paraId="3FB2B007" w14:textId="5B16CFCE"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8</w:t>
            </w:r>
          </w:p>
        </w:tc>
        <w:tc>
          <w:tcPr>
            <w:tcW w:w="1167" w:type="pct"/>
            <w:vAlign w:val="center"/>
          </w:tcPr>
          <w:p w14:paraId="4517E033" w14:textId="79A5F7BE" w:rsidR="00987702" w:rsidRDefault="00987702" w:rsidP="00987702">
            <w:pPr>
              <w:adjustRightInd w:val="0"/>
              <w:snapToGrid w:val="0"/>
              <w:spacing w:beforeLines="20" w:before="62" w:afterLines="20" w:after="62"/>
              <w:jc w:val="center"/>
              <w:rPr>
                <w:rFonts w:eastAsia="仿宋_GB2312"/>
                <w:sz w:val="24"/>
              </w:rPr>
            </w:pPr>
            <w:r w:rsidRPr="00BF6596">
              <w:rPr>
                <w:rFonts w:eastAsia="仿宋_GB2312" w:hint="eastAsia"/>
                <w:sz w:val="24"/>
              </w:rPr>
              <w:t>云城区思劳镇人民政府</w:t>
            </w:r>
          </w:p>
        </w:tc>
        <w:tc>
          <w:tcPr>
            <w:tcW w:w="1531" w:type="pct"/>
            <w:vAlign w:val="center"/>
          </w:tcPr>
          <w:p w14:paraId="4000CE55" w14:textId="6F1E2B28"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无意见</w:t>
            </w:r>
            <w:r>
              <w:rPr>
                <w:rFonts w:eastAsia="仿宋_GB2312" w:hint="eastAsia"/>
                <w:sz w:val="24"/>
              </w:rPr>
              <w:t>。</w:t>
            </w:r>
          </w:p>
        </w:tc>
        <w:tc>
          <w:tcPr>
            <w:tcW w:w="2036" w:type="pct"/>
            <w:vAlign w:val="center"/>
          </w:tcPr>
          <w:p w14:paraId="79F8697E" w14:textId="736A968A"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w:t>
            </w:r>
          </w:p>
        </w:tc>
      </w:tr>
      <w:tr w:rsidR="00987702" w14:paraId="632A96CF" w14:textId="77777777" w:rsidTr="00351BDB">
        <w:trPr>
          <w:jc w:val="center"/>
        </w:trPr>
        <w:tc>
          <w:tcPr>
            <w:tcW w:w="266" w:type="pct"/>
            <w:vAlign w:val="center"/>
          </w:tcPr>
          <w:p w14:paraId="3199F81F" w14:textId="152F0441"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9</w:t>
            </w:r>
          </w:p>
        </w:tc>
        <w:tc>
          <w:tcPr>
            <w:tcW w:w="1167" w:type="pct"/>
            <w:vAlign w:val="center"/>
          </w:tcPr>
          <w:p w14:paraId="7AD08258" w14:textId="5B1E1375" w:rsidR="00987702" w:rsidRDefault="00987702" w:rsidP="00987702">
            <w:pPr>
              <w:adjustRightInd w:val="0"/>
              <w:snapToGrid w:val="0"/>
              <w:spacing w:beforeLines="20" w:before="62" w:afterLines="20" w:after="62"/>
              <w:jc w:val="center"/>
              <w:rPr>
                <w:rFonts w:eastAsia="仿宋_GB2312"/>
                <w:sz w:val="24"/>
              </w:rPr>
            </w:pPr>
            <w:r w:rsidRPr="00BF6596">
              <w:rPr>
                <w:rFonts w:eastAsia="仿宋_GB2312" w:hint="eastAsia"/>
                <w:sz w:val="24"/>
              </w:rPr>
              <w:t>云城区前锋镇人民政府</w:t>
            </w:r>
          </w:p>
        </w:tc>
        <w:tc>
          <w:tcPr>
            <w:tcW w:w="1531" w:type="pct"/>
            <w:vAlign w:val="center"/>
          </w:tcPr>
          <w:p w14:paraId="2C2555F1" w14:textId="2BDD5BED"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无意见</w:t>
            </w:r>
            <w:r>
              <w:rPr>
                <w:rFonts w:eastAsia="仿宋_GB2312" w:hint="eastAsia"/>
                <w:sz w:val="24"/>
              </w:rPr>
              <w:t>。</w:t>
            </w:r>
          </w:p>
        </w:tc>
        <w:tc>
          <w:tcPr>
            <w:tcW w:w="2036" w:type="pct"/>
            <w:vAlign w:val="center"/>
          </w:tcPr>
          <w:p w14:paraId="2F5ECEA7" w14:textId="661C6691" w:rsidR="00987702" w:rsidRP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w:t>
            </w:r>
          </w:p>
        </w:tc>
      </w:tr>
      <w:tr w:rsidR="00987702" w14:paraId="53DEA9B6" w14:textId="77777777" w:rsidTr="00351BDB">
        <w:trPr>
          <w:jc w:val="center"/>
        </w:trPr>
        <w:tc>
          <w:tcPr>
            <w:tcW w:w="266" w:type="pct"/>
            <w:vAlign w:val="center"/>
          </w:tcPr>
          <w:p w14:paraId="73E8819A" w14:textId="47C2F31A"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10</w:t>
            </w:r>
          </w:p>
        </w:tc>
        <w:tc>
          <w:tcPr>
            <w:tcW w:w="1167" w:type="pct"/>
            <w:vAlign w:val="center"/>
          </w:tcPr>
          <w:p w14:paraId="39C0DB32" w14:textId="6A97AFDA" w:rsidR="00987702" w:rsidRDefault="00987702" w:rsidP="00987702">
            <w:pPr>
              <w:adjustRightInd w:val="0"/>
              <w:snapToGrid w:val="0"/>
              <w:spacing w:beforeLines="20" w:before="62" w:afterLines="20" w:after="62"/>
              <w:jc w:val="center"/>
              <w:rPr>
                <w:rFonts w:eastAsia="仿宋_GB2312"/>
                <w:sz w:val="24"/>
              </w:rPr>
            </w:pPr>
            <w:r w:rsidRPr="00BF6596">
              <w:rPr>
                <w:rFonts w:eastAsia="仿宋_GB2312" w:hint="eastAsia"/>
                <w:sz w:val="24"/>
              </w:rPr>
              <w:t>云城区南盛镇人民政府</w:t>
            </w:r>
          </w:p>
        </w:tc>
        <w:tc>
          <w:tcPr>
            <w:tcW w:w="1531" w:type="pct"/>
            <w:vAlign w:val="center"/>
          </w:tcPr>
          <w:p w14:paraId="36A5D685" w14:textId="58421C9B"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无意见</w:t>
            </w:r>
            <w:r>
              <w:rPr>
                <w:rFonts w:eastAsia="仿宋_GB2312" w:hint="eastAsia"/>
                <w:sz w:val="24"/>
              </w:rPr>
              <w:t>。</w:t>
            </w:r>
          </w:p>
        </w:tc>
        <w:tc>
          <w:tcPr>
            <w:tcW w:w="2036" w:type="pct"/>
            <w:vAlign w:val="center"/>
          </w:tcPr>
          <w:p w14:paraId="13237F7D" w14:textId="7B503B0D"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w:t>
            </w:r>
          </w:p>
        </w:tc>
      </w:tr>
      <w:tr w:rsidR="00987702" w14:paraId="2FDCD468" w14:textId="77777777" w:rsidTr="00351BDB">
        <w:trPr>
          <w:jc w:val="center"/>
        </w:trPr>
        <w:tc>
          <w:tcPr>
            <w:tcW w:w="266" w:type="pct"/>
            <w:vAlign w:val="center"/>
          </w:tcPr>
          <w:p w14:paraId="20219A03" w14:textId="1CF4FCD9"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11</w:t>
            </w:r>
          </w:p>
        </w:tc>
        <w:tc>
          <w:tcPr>
            <w:tcW w:w="1167" w:type="pct"/>
            <w:vAlign w:val="center"/>
          </w:tcPr>
          <w:p w14:paraId="441E3856" w14:textId="4FF64C45" w:rsidR="00987702" w:rsidRDefault="00987702" w:rsidP="00987702">
            <w:pPr>
              <w:adjustRightInd w:val="0"/>
              <w:snapToGrid w:val="0"/>
              <w:spacing w:beforeLines="20" w:before="62" w:afterLines="20" w:after="62"/>
              <w:jc w:val="center"/>
              <w:rPr>
                <w:rFonts w:eastAsia="仿宋_GB2312"/>
                <w:sz w:val="24"/>
              </w:rPr>
            </w:pPr>
            <w:r w:rsidRPr="00BF6596">
              <w:rPr>
                <w:rFonts w:eastAsia="仿宋_GB2312" w:hint="eastAsia"/>
                <w:sz w:val="24"/>
              </w:rPr>
              <w:t>广东智</w:t>
            </w:r>
            <w:proofErr w:type="gramStart"/>
            <w:r w:rsidRPr="00BF6596">
              <w:rPr>
                <w:rFonts w:eastAsia="仿宋_GB2312" w:hint="eastAsia"/>
                <w:sz w:val="24"/>
              </w:rPr>
              <w:t>信土地</w:t>
            </w:r>
            <w:proofErr w:type="gramEnd"/>
            <w:r w:rsidRPr="00BF6596">
              <w:rPr>
                <w:rFonts w:eastAsia="仿宋_GB2312" w:hint="eastAsia"/>
                <w:sz w:val="24"/>
              </w:rPr>
              <w:t>房地产资产评估有限公司</w:t>
            </w:r>
          </w:p>
        </w:tc>
        <w:tc>
          <w:tcPr>
            <w:tcW w:w="1531" w:type="pct"/>
            <w:vAlign w:val="center"/>
          </w:tcPr>
          <w:p w14:paraId="56640D83" w14:textId="4F2BBD23" w:rsidR="00987702" w:rsidRDefault="00D67691" w:rsidP="00D67691">
            <w:pPr>
              <w:adjustRightInd w:val="0"/>
              <w:snapToGrid w:val="0"/>
              <w:spacing w:beforeLines="20" w:before="62" w:afterLines="20" w:after="62"/>
              <w:jc w:val="left"/>
              <w:rPr>
                <w:rFonts w:eastAsia="仿宋_GB2312"/>
                <w:sz w:val="24"/>
              </w:rPr>
            </w:pPr>
            <w:r w:rsidRPr="00D67691">
              <w:rPr>
                <w:rFonts w:eastAsia="仿宋_GB2312" w:hint="eastAsia"/>
                <w:sz w:val="24"/>
              </w:rPr>
              <w:t>标定地价的应用，建议在成果中展示标定地价的个别因素情况，如标定地块的形状，便于标定地价的应用。</w:t>
            </w:r>
          </w:p>
        </w:tc>
        <w:tc>
          <w:tcPr>
            <w:tcW w:w="2036" w:type="pct"/>
            <w:vAlign w:val="center"/>
          </w:tcPr>
          <w:p w14:paraId="5767455D" w14:textId="68D22D17" w:rsidR="00987702" w:rsidRDefault="00987702" w:rsidP="00D67691">
            <w:pPr>
              <w:adjustRightInd w:val="0"/>
              <w:snapToGrid w:val="0"/>
              <w:spacing w:beforeLines="20" w:before="62" w:afterLines="20" w:after="62"/>
              <w:jc w:val="left"/>
              <w:rPr>
                <w:rFonts w:eastAsia="仿宋_GB2312"/>
                <w:sz w:val="24"/>
              </w:rPr>
            </w:pPr>
            <w:r w:rsidRPr="00987702">
              <w:rPr>
                <w:rFonts w:eastAsia="仿宋_GB2312" w:hint="eastAsia"/>
                <w:sz w:val="24"/>
              </w:rPr>
              <w:t>技术单位回复：</w:t>
            </w:r>
            <w:r w:rsidR="00D67691" w:rsidRPr="00D67691">
              <w:rPr>
                <w:rFonts w:eastAsia="仿宋_GB2312" w:hint="eastAsia"/>
                <w:sz w:val="24"/>
              </w:rPr>
              <w:t>关于标准宗地的形状信息，我们在成果图中每一宗标准宗地的红线范围均有展示，可以从图中了解具体宗地形状情况。</w:t>
            </w:r>
          </w:p>
        </w:tc>
      </w:tr>
      <w:tr w:rsidR="00987702" w14:paraId="1CFB09D8" w14:textId="77777777" w:rsidTr="00351BDB">
        <w:trPr>
          <w:jc w:val="center"/>
        </w:trPr>
        <w:tc>
          <w:tcPr>
            <w:tcW w:w="266" w:type="pct"/>
            <w:vAlign w:val="center"/>
          </w:tcPr>
          <w:p w14:paraId="45CD6888" w14:textId="7D94C07C"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lastRenderedPageBreak/>
              <w:t>12</w:t>
            </w:r>
          </w:p>
        </w:tc>
        <w:tc>
          <w:tcPr>
            <w:tcW w:w="1167" w:type="pct"/>
            <w:vAlign w:val="center"/>
          </w:tcPr>
          <w:p w14:paraId="742FFF92" w14:textId="583B9669" w:rsidR="00987702" w:rsidRDefault="00987702" w:rsidP="00987702">
            <w:pPr>
              <w:adjustRightInd w:val="0"/>
              <w:snapToGrid w:val="0"/>
              <w:spacing w:beforeLines="20" w:before="62" w:afterLines="20" w:after="62"/>
              <w:jc w:val="center"/>
              <w:rPr>
                <w:rFonts w:eastAsia="仿宋_GB2312"/>
                <w:sz w:val="24"/>
              </w:rPr>
            </w:pPr>
            <w:r w:rsidRPr="00BF6596">
              <w:rPr>
                <w:rFonts w:eastAsia="仿宋_GB2312" w:hint="eastAsia"/>
                <w:sz w:val="24"/>
              </w:rPr>
              <w:t>云浮科</w:t>
            </w:r>
            <w:proofErr w:type="gramStart"/>
            <w:r w:rsidRPr="00BF6596">
              <w:rPr>
                <w:rFonts w:eastAsia="仿宋_GB2312" w:hint="eastAsia"/>
                <w:sz w:val="24"/>
              </w:rPr>
              <w:t>信土地</w:t>
            </w:r>
            <w:proofErr w:type="gramEnd"/>
            <w:r w:rsidRPr="00BF6596">
              <w:rPr>
                <w:rFonts w:eastAsia="仿宋_GB2312" w:hint="eastAsia"/>
                <w:sz w:val="24"/>
              </w:rPr>
              <w:t>房地产资产评估有限公司</w:t>
            </w:r>
          </w:p>
        </w:tc>
        <w:tc>
          <w:tcPr>
            <w:tcW w:w="1531" w:type="pct"/>
            <w:vAlign w:val="center"/>
          </w:tcPr>
          <w:p w14:paraId="706C7FE5" w14:textId="01061AF5" w:rsidR="00987702" w:rsidRPr="00987702" w:rsidRDefault="00987702" w:rsidP="00987702">
            <w:pPr>
              <w:adjustRightInd w:val="0"/>
              <w:snapToGrid w:val="0"/>
              <w:spacing w:beforeLines="20" w:before="62" w:afterLines="20" w:after="62"/>
              <w:jc w:val="center"/>
              <w:rPr>
                <w:rFonts w:eastAsia="仿宋_GB2312"/>
                <w:sz w:val="24"/>
              </w:rPr>
            </w:pPr>
            <w:r>
              <w:rPr>
                <w:rFonts w:eastAsia="仿宋_GB2312"/>
                <w:sz w:val="24"/>
              </w:rPr>
              <w:t>无意见</w:t>
            </w:r>
            <w:r>
              <w:rPr>
                <w:rFonts w:eastAsia="仿宋_GB2312" w:hint="eastAsia"/>
                <w:sz w:val="24"/>
              </w:rPr>
              <w:t>。</w:t>
            </w:r>
          </w:p>
        </w:tc>
        <w:tc>
          <w:tcPr>
            <w:tcW w:w="2036" w:type="pct"/>
            <w:vAlign w:val="center"/>
          </w:tcPr>
          <w:p w14:paraId="0D7357C6" w14:textId="6244D031"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w:t>
            </w:r>
          </w:p>
        </w:tc>
      </w:tr>
      <w:tr w:rsidR="00987702" w14:paraId="5E99BDC1" w14:textId="77777777" w:rsidTr="00351BDB">
        <w:trPr>
          <w:jc w:val="center"/>
        </w:trPr>
        <w:tc>
          <w:tcPr>
            <w:tcW w:w="266" w:type="pct"/>
            <w:vAlign w:val="center"/>
          </w:tcPr>
          <w:p w14:paraId="65B55ECF" w14:textId="4EA942F7"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13</w:t>
            </w:r>
          </w:p>
        </w:tc>
        <w:tc>
          <w:tcPr>
            <w:tcW w:w="1167" w:type="pct"/>
            <w:vAlign w:val="center"/>
          </w:tcPr>
          <w:p w14:paraId="7A032601" w14:textId="221174E6" w:rsidR="00987702" w:rsidRDefault="00351BDB" w:rsidP="00987702">
            <w:pPr>
              <w:adjustRightInd w:val="0"/>
              <w:snapToGrid w:val="0"/>
              <w:spacing w:beforeLines="20" w:before="62" w:afterLines="20" w:after="62"/>
              <w:jc w:val="center"/>
              <w:rPr>
                <w:rFonts w:eastAsia="仿宋_GB2312"/>
                <w:sz w:val="24"/>
              </w:rPr>
            </w:pPr>
            <w:r w:rsidRPr="00351BDB">
              <w:rPr>
                <w:rFonts w:eastAsia="仿宋_GB2312" w:hint="eastAsia"/>
                <w:sz w:val="24"/>
              </w:rPr>
              <w:t>云浮市永信中土</w:t>
            </w:r>
            <w:proofErr w:type="gramStart"/>
            <w:r w:rsidRPr="00351BDB">
              <w:rPr>
                <w:rFonts w:eastAsia="仿宋_GB2312" w:hint="eastAsia"/>
                <w:sz w:val="24"/>
              </w:rPr>
              <w:t>源土地</w:t>
            </w:r>
            <w:proofErr w:type="gramEnd"/>
            <w:r w:rsidRPr="00351BDB">
              <w:rPr>
                <w:rFonts w:eastAsia="仿宋_GB2312" w:hint="eastAsia"/>
                <w:sz w:val="24"/>
              </w:rPr>
              <w:t>与房地产评估有限公司</w:t>
            </w:r>
          </w:p>
        </w:tc>
        <w:tc>
          <w:tcPr>
            <w:tcW w:w="1531" w:type="pct"/>
            <w:vAlign w:val="center"/>
          </w:tcPr>
          <w:p w14:paraId="65D5E966" w14:textId="1655ADD9"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无意见</w:t>
            </w:r>
            <w:r>
              <w:rPr>
                <w:rFonts w:eastAsia="仿宋_GB2312" w:hint="eastAsia"/>
                <w:sz w:val="24"/>
              </w:rPr>
              <w:t>。</w:t>
            </w:r>
          </w:p>
        </w:tc>
        <w:tc>
          <w:tcPr>
            <w:tcW w:w="2036" w:type="pct"/>
            <w:vAlign w:val="center"/>
          </w:tcPr>
          <w:p w14:paraId="5A67E3C4" w14:textId="6FFB0CF6"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w:t>
            </w:r>
          </w:p>
        </w:tc>
      </w:tr>
      <w:tr w:rsidR="00987702" w14:paraId="5EEEFB43" w14:textId="77777777" w:rsidTr="00351BDB">
        <w:trPr>
          <w:jc w:val="center"/>
        </w:trPr>
        <w:tc>
          <w:tcPr>
            <w:tcW w:w="266" w:type="pct"/>
            <w:vAlign w:val="center"/>
          </w:tcPr>
          <w:p w14:paraId="19218237" w14:textId="4E7AE98D"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14</w:t>
            </w:r>
          </w:p>
        </w:tc>
        <w:tc>
          <w:tcPr>
            <w:tcW w:w="1167" w:type="pct"/>
            <w:vAlign w:val="center"/>
          </w:tcPr>
          <w:p w14:paraId="358D2ADC" w14:textId="6DED94F2" w:rsidR="00987702" w:rsidRPr="00223877" w:rsidRDefault="00351BDB" w:rsidP="00987702">
            <w:pPr>
              <w:adjustRightInd w:val="0"/>
              <w:snapToGrid w:val="0"/>
              <w:spacing w:beforeLines="20" w:before="62" w:afterLines="20" w:after="62"/>
              <w:jc w:val="center"/>
              <w:rPr>
                <w:rFonts w:eastAsia="仿宋_GB2312"/>
                <w:sz w:val="24"/>
              </w:rPr>
            </w:pPr>
            <w:proofErr w:type="gramStart"/>
            <w:r w:rsidRPr="00351BDB">
              <w:rPr>
                <w:rFonts w:eastAsia="仿宋_GB2312" w:hint="eastAsia"/>
                <w:sz w:val="24"/>
              </w:rPr>
              <w:t>广东博亿美</w:t>
            </w:r>
            <w:proofErr w:type="gramEnd"/>
            <w:r w:rsidRPr="00351BDB">
              <w:rPr>
                <w:rFonts w:eastAsia="仿宋_GB2312" w:hint="eastAsia"/>
                <w:sz w:val="24"/>
              </w:rPr>
              <w:t>房地产资产评估有限公司</w:t>
            </w:r>
          </w:p>
        </w:tc>
        <w:tc>
          <w:tcPr>
            <w:tcW w:w="1531" w:type="pct"/>
            <w:vAlign w:val="center"/>
          </w:tcPr>
          <w:p w14:paraId="03B1FA37" w14:textId="16B9793F" w:rsidR="00987702" w:rsidRDefault="00987702" w:rsidP="00987702">
            <w:pPr>
              <w:adjustRightInd w:val="0"/>
              <w:snapToGrid w:val="0"/>
              <w:spacing w:beforeLines="20" w:before="62" w:afterLines="20" w:after="62"/>
              <w:jc w:val="center"/>
              <w:rPr>
                <w:rFonts w:eastAsia="仿宋_GB2312"/>
                <w:sz w:val="24"/>
              </w:rPr>
            </w:pPr>
            <w:r>
              <w:rPr>
                <w:rFonts w:eastAsia="仿宋_GB2312"/>
                <w:sz w:val="24"/>
              </w:rPr>
              <w:t>无意见</w:t>
            </w:r>
            <w:r>
              <w:rPr>
                <w:rFonts w:eastAsia="仿宋_GB2312" w:hint="eastAsia"/>
                <w:sz w:val="24"/>
              </w:rPr>
              <w:t>。</w:t>
            </w:r>
          </w:p>
        </w:tc>
        <w:tc>
          <w:tcPr>
            <w:tcW w:w="2036" w:type="pct"/>
            <w:vAlign w:val="center"/>
          </w:tcPr>
          <w:p w14:paraId="5DD8BD9C" w14:textId="646D1E61"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w:t>
            </w:r>
          </w:p>
        </w:tc>
      </w:tr>
      <w:tr w:rsidR="00987702" w14:paraId="1FFC389B" w14:textId="77777777" w:rsidTr="00351BDB">
        <w:trPr>
          <w:jc w:val="center"/>
        </w:trPr>
        <w:tc>
          <w:tcPr>
            <w:tcW w:w="266" w:type="pct"/>
            <w:vAlign w:val="center"/>
          </w:tcPr>
          <w:p w14:paraId="4B117000" w14:textId="5C5EAEAC" w:rsidR="00987702" w:rsidRDefault="00987702" w:rsidP="00987702">
            <w:pPr>
              <w:adjustRightInd w:val="0"/>
              <w:snapToGrid w:val="0"/>
              <w:spacing w:beforeLines="20" w:before="62" w:afterLines="20" w:after="62"/>
              <w:jc w:val="center"/>
              <w:rPr>
                <w:rFonts w:eastAsia="仿宋_GB2312"/>
                <w:sz w:val="24"/>
              </w:rPr>
            </w:pPr>
            <w:r>
              <w:rPr>
                <w:rFonts w:eastAsia="仿宋_GB2312" w:hint="eastAsia"/>
                <w:sz w:val="24"/>
              </w:rPr>
              <w:t>15</w:t>
            </w:r>
          </w:p>
        </w:tc>
        <w:tc>
          <w:tcPr>
            <w:tcW w:w="1167" w:type="pct"/>
            <w:vAlign w:val="center"/>
          </w:tcPr>
          <w:p w14:paraId="77029680" w14:textId="49336DCB" w:rsidR="00987702" w:rsidRDefault="00987702" w:rsidP="00987702">
            <w:pPr>
              <w:adjustRightInd w:val="0"/>
              <w:snapToGrid w:val="0"/>
              <w:spacing w:beforeLines="20" w:before="62" w:afterLines="20" w:after="62"/>
              <w:jc w:val="center"/>
              <w:rPr>
                <w:rFonts w:eastAsia="仿宋_GB2312"/>
                <w:sz w:val="24"/>
              </w:rPr>
            </w:pPr>
            <w:r w:rsidRPr="00BF6596">
              <w:rPr>
                <w:rFonts w:eastAsia="仿宋_GB2312" w:hint="eastAsia"/>
                <w:sz w:val="24"/>
              </w:rPr>
              <w:t>云浮市达</w:t>
            </w:r>
            <w:proofErr w:type="gramStart"/>
            <w:r w:rsidRPr="00BF6596">
              <w:rPr>
                <w:rFonts w:eastAsia="仿宋_GB2312" w:hint="eastAsia"/>
                <w:sz w:val="24"/>
              </w:rPr>
              <w:t>信土地</w:t>
            </w:r>
            <w:proofErr w:type="gramEnd"/>
            <w:r w:rsidRPr="00BF6596">
              <w:rPr>
                <w:rFonts w:eastAsia="仿宋_GB2312" w:hint="eastAsia"/>
                <w:sz w:val="24"/>
              </w:rPr>
              <w:t>房地产资产估价有限公司</w:t>
            </w:r>
          </w:p>
        </w:tc>
        <w:tc>
          <w:tcPr>
            <w:tcW w:w="1531" w:type="pct"/>
            <w:vAlign w:val="center"/>
          </w:tcPr>
          <w:p w14:paraId="273E8C2F" w14:textId="77777777" w:rsidR="00D67691" w:rsidRPr="00D67691" w:rsidRDefault="00D67691" w:rsidP="00D67691">
            <w:pPr>
              <w:adjustRightInd w:val="0"/>
              <w:snapToGrid w:val="0"/>
              <w:spacing w:beforeLines="20" w:before="62" w:afterLines="20" w:after="62"/>
              <w:jc w:val="left"/>
              <w:rPr>
                <w:rFonts w:eastAsia="仿宋_GB2312" w:hint="eastAsia"/>
                <w:sz w:val="24"/>
              </w:rPr>
            </w:pPr>
            <w:r w:rsidRPr="00D67691">
              <w:rPr>
                <w:rFonts w:eastAsia="仿宋_GB2312" w:hint="eastAsia"/>
                <w:sz w:val="24"/>
              </w:rPr>
              <w:t>1</w:t>
            </w:r>
            <w:r w:rsidRPr="00D67691">
              <w:rPr>
                <w:rFonts w:eastAsia="仿宋_GB2312" w:hint="eastAsia"/>
                <w:sz w:val="24"/>
              </w:rPr>
              <w:t>、替换</w:t>
            </w:r>
            <w:r w:rsidRPr="00D67691">
              <w:rPr>
                <w:rFonts w:eastAsia="仿宋_GB2312" w:hint="eastAsia"/>
                <w:sz w:val="24"/>
              </w:rPr>
              <w:t>2</w:t>
            </w:r>
            <w:r w:rsidRPr="00D67691">
              <w:rPr>
                <w:rFonts w:eastAsia="仿宋_GB2312" w:hint="eastAsia"/>
                <w:sz w:val="24"/>
              </w:rPr>
              <w:t>宗的标准宗地，是否不列入范围？</w:t>
            </w:r>
          </w:p>
          <w:p w14:paraId="0282B6F1" w14:textId="2594A98A" w:rsidR="00987702" w:rsidRPr="00E17334" w:rsidRDefault="00D67691" w:rsidP="00D67691">
            <w:pPr>
              <w:adjustRightInd w:val="0"/>
              <w:snapToGrid w:val="0"/>
              <w:spacing w:beforeLines="20" w:before="62" w:afterLines="20" w:after="62"/>
              <w:jc w:val="left"/>
              <w:rPr>
                <w:rFonts w:eastAsia="仿宋_GB2312"/>
                <w:sz w:val="24"/>
              </w:rPr>
            </w:pPr>
            <w:r w:rsidRPr="00D67691">
              <w:rPr>
                <w:rFonts w:eastAsia="仿宋_GB2312" w:hint="eastAsia"/>
                <w:sz w:val="24"/>
              </w:rPr>
              <w:t>2</w:t>
            </w:r>
            <w:r w:rsidRPr="00D67691">
              <w:rPr>
                <w:rFonts w:eastAsia="仿宋_GB2312" w:hint="eastAsia"/>
                <w:sz w:val="24"/>
              </w:rPr>
              <w:t>、附件一第</w:t>
            </w:r>
            <w:r w:rsidRPr="00D67691">
              <w:rPr>
                <w:rFonts w:eastAsia="仿宋_GB2312" w:hint="eastAsia"/>
                <w:sz w:val="24"/>
              </w:rPr>
              <w:t>116</w:t>
            </w:r>
            <w:r w:rsidRPr="00D67691">
              <w:rPr>
                <w:rFonts w:eastAsia="仿宋_GB2312" w:hint="eastAsia"/>
                <w:sz w:val="24"/>
              </w:rPr>
              <w:t>项工业用地容积率</w:t>
            </w:r>
            <w:r w:rsidRPr="00D67691">
              <w:rPr>
                <w:rFonts w:eastAsia="仿宋_GB2312" w:hint="eastAsia"/>
                <w:sz w:val="24"/>
              </w:rPr>
              <w:t>3.26</w:t>
            </w:r>
            <w:r w:rsidRPr="00D67691">
              <w:rPr>
                <w:rFonts w:eastAsia="仿宋_GB2312" w:hint="eastAsia"/>
                <w:sz w:val="24"/>
              </w:rPr>
              <w:t>比一般容积率高，这个对价格是否会有影响？</w:t>
            </w:r>
          </w:p>
        </w:tc>
        <w:tc>
          <w:tcPr>
            <w:tcW w:w="2036" w:type="pct"/>
            <w:vAlign w:val="center"/>
          </w:tcPr>
          <w:p w14:paraId="08285460" w14:textId="77777777" w:rsidR="00D67691" w:rsidRPr="00D67691" w:rsidRDefault="00D67691" w:rsidP="00D67691">
            <w:pPr>
              <w:adjustRightInd w:val="0"/>
              <w:snapToGrid w:val="0"/>
              <w:spacing w:beforeLines="20" w:before="62" w:afterLines="20" w:after="62"/>
              <w:jc w:val="left"/>
              <w:rPr>
                <w:rFonts w:eastAsia="仿宋_GB2312" w:hint="eastAsia"/>
                <w:sz w:val="24"/>
              </w:rPr>
            </w:pPr>
            <w:r w:rsidRPr="00D67691">
              <w:rPr>
                <w:rFonts w:eastAsia="仿宋_GB2312" w:hint="eastAsia"/>
                <w:sz w:val="24"/>
              </w:rPr>
              <w:t>技术单位回复：</w:t>
            </w:r>
            <w:r w:rsidRPr="00D67691">
              <w:rPr>
                <w:rFonts w:eastAsia="仿宋_GB2312" w:hint="eastAsia"/>
                <w:sz w:val="24"/>
              </w:rPr>
              <w:t>1</w:t>
            </w:r>
            <w:r w:rsidRPr="00D67691">
              <w:rPr>
                <w:rFonts w:eastAsia="仿宋_GB2312" w:hint="eastAsia"/>
                <w:sz w:val="24"/>
              </w:rPr>
              <w:t>、两宗标准宗地的替换，是由于本轮更新收集到替换宗地的权属、规划资料比原标准宗地更齐全完善，应用方面只是替换了标定区域里面中可比的标准宗地情况，使可比标准宗地更具准确性，我们标定区域范围并没有取消或减少，因此，在范围上不影响应用。</w:t>
            </w:r>
          </w:p>
          <w:p w14:paraId="6FA4CA92" w14:textId="0E398F6A" w:rsidR="00987702" w:rsidRPr="00E17334" w:rsidRDefault="00D67691" w:rsidP="00D67691">
            <w:pPr>
              <w:adjustRightInd w:val="0"/>
              <w:snapToGrid w:val="0"/>
              <w:spacing w:beforeLines="20" w:before="62" w:afterLines="20" w:after="62"/>
              <w:jc w:val="left"/>
              <w:rPr>
                <w:rFonts w:eastAsia="仿宋_GB2312"/>
                <w:sz w:val="24"/>
              </w:rPr>
            </w:pPr>
            <w:r w:rsidRPr="00D67691">
              <w:rPr>
                <w:rFonts w:eastAsia="仿宋_GB2312" w:hint="eastAsia"/>
                <w:sz w:val="24"/>
              </w:rPr>
              <w:t>2</w:t>
            </w:r>
            <w:r w:rsidRPr="00D67691">
              <w:rPr>
                <w:rFonts w:eastAsia="仿宋_GB2312" w:hint="eastAsia"/>
                <w:sz w:val="24"/>
              </w:rPr>
              <w:t>、</w:t>
            </w:r>
            <w:r w:rsidRPr="00D67691">
              <w:rPr>
                <w:rFonts w:eastAsia="仿宋_GB2312" w:hint="eastAsia"/>
                <w:sz w:val="24"/>
              </w:rPr>
              <w:t>116</w:t>
            </w:r>
            <w:r w:rsidRPr="00D67691">
              <w:rPr>
                <w:rFonts w:eastAsia="仿宋_GB2312" w:hint="eastAsia"/>
                <w:sz w:val="24"/>
              </w:rPr>
              <w:t>号工业用地容积率</w:t>
            </w:r>
            <w:r w:rsidRPr="00D67691">
              <w:rPr>
                <w:rFonts w:eastAsia="仿宋_GB2312" w:hint="eastAsia"/>
                <w:sz w:val="24"/>
              </w:rPr>
              <w:t>3.26</w:t>
            </w:r>
            <w:r w:rsidRPr="00D67691">
              <w:rPr>
                <w:rFonts w:eastAsia="仿宋_GB2312" w:hint="eastAsia"/>
                <w:sz w:val="24"/>
              </w:rPr>
              <w:t>是根据收集的规划资料进行设定，目前工业用地应用的地价内涵是地面地价，同时，考虑到国家、广东省和云浮市云城区鼓励工业用地集约节约利用的相关文件规定及客观情况，本次标定地价更新成果工业用地不进行容积率修正。因此，目前云浮市工业用地容积率对标定地价修正不影响。</w:t>
            </w:r>
          </w:p>
        </w:tc>
      </w:tr>
    </w:tbl>
    <w:p w14:paraId="71FFE227" w14:textId="77777777" w:rsidR="00ED2447" w:rsidRDefault="00ED2447" w:rsidP="00D77257"/>
    <w:sectPr w:rsidR="00ED2447">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E4E659" w14:textId="77777777" w:rsidR="00BA29BA" w:rsidRDefault="00BA29BA" w:rsidP="003D0FB8">
      <w:r>
        <w:separator/>
      </w:r>
    </w:p>
  </w:endnote>
  <w:endnote w:type="continuationSeparator" w:id="0">
    <w:p w14:paraId="158A89B6" w14:textId="77777777" w:rsidR="00BA29BA" w:rsidRDefault="00BA29BA" w:rsidP="003D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A999C6" w14:textId="77777777" w:rsidR="00BA29BA" w:rsidRDefault="00BA29BA" w:rsidP="003D0FB8">
      <w:r>
        <w:separator/>
      </w:r>
    </w:p>
  </w:footnote>
  <w:footnote w:type="continuationSeparator" w:id="0">
    <w:p w14:paraId="491AF291" w14:textId="77777777" w:rsidR="00BA29BA" w:rsidRDefault="00BA29BA" w:rsidP="003D0F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B03"/>
    <w:rsid w:val="00012F8C"/>
    <w:rsid w:val="00055C99"/>
    <w:rsid w:val="000616F9"/>
    <w:rsid w:val="000B1390"/>
    <w:rsid w:val="000B202B"/>
    <w:rsid w:val="00154635"/>
    <w:rsid w:val="002057E3"/>
    <w:rsid w:val="0022346F"/>
    <w:rsid w:val="00223618"/>
    <w:rsid w:val="00223877"/>
    <w:rsid w:val="00280E76"/>
    <w:rsid w:val="002E23C1"/>
    <w:rsid w:val="003120B9"/>
    <w:rsid w:val="003504AC"/>
    <w:rsid w:val="00351664"/>
    <w:rsid w:val="00351BDB"/>
    <w:rsid w:val="00387EA7"/>
    <w:rsid w:val="003D0FB8"/>
    <w:rsid w:val="003F3CF0"/>
    <w:rsid w:val="003F7155"/>
    <w:rsid w:val="004717BA"/>
    <w:rsid w:val="004F5DD6"/>
    <w:rsid w:val="005121C7"/>
    <w:rsid w:val="005210B5"/>
    <w:rsid w:val="00532429"/>
    <w:rsid w:val="00541E3A"/>
    <w:rsid w:val="005A7A94"/>
    <w:rsid w:val="005B1189"/>
    <w:rsid w:val="005B4CC3"/>
    <w:rsid w:val="006150B6"/>
    <w:rsid w:val="00653A9B"/>
    <w:rsid w:val="006728BF"/>
    <w:rsid w:val="006E028F"/>
    <w:rsid w:val="006E0BAE"/>
    <w:rsid w:val="006E3BF5"/>
    <w:rsid w:val="006E72A9"/>
    <w:rsid w:val="006F7F9D"/>
    <w:rsid w:val="00711841"/>
    <w:rsid w:val="00784381"/>
    <w:rsid w:val="00786027"/>
    <w:rsid w:val="007A7A83"/>
    <w:rsid w:val="007B6E3D"/>
    <w:rsid w:val="0081022D"/>
    <w:rsid w:val="008179AE"/>
    <w:rsid w:val="00821B03"/>
    <w:rsid w:val="008559D4"/>
    <w:rsid w:val="008807F0"/>
    <w:rsid w:val="0089164E"/>
    <w:rsid w:val="008B69AA"/>
    <w:rsid w:val="008C215E"/>
    <w:rsid w:val="008D762C"/>
    <w:rsid w:val="008E1CE9"/>
    <w:rsid w:val="00987702"/>
    <w:rsid w:val="009A24E7"/>
    <w:rsid w:val="009B230C"/>
    <w:rsid w:val="009C7508"/>
    <w:rsid w:val="009C77D5"/>
    <w:rsid w:val="009D1A03"/>
    <w:rsid w:val="009D340F"/>
    <w:rsid w:val="009F7377"/>
    <w:rsid w:val="00A61718"/>
    <w:rsid w:val="00A732CD"/>
    <w:rsid w:val="00A73C54"/>
    <w:rsid w:val="00AA3BC1"/>
    <w:rsid w:val="00AA58C1"/>
    <w:rsid w:val="00AC1C9D"/>
    <w:rsid w:val="00AC75F3"/>
    <w:rsid w:val="00AF3BCA"/>
    <w:rsid w:val="00B32762"/>
    <w:rsid w:val="00B375EB"/>
    <w:rsid w:val="00B54287"/>
    <w:rsid w:val="00B62F6E"/>
    <w:rsid w:val="00BA29BA"/>
    <w:rsid w:val="00BC24B2"/>
    <w:rsid w:val="00BC2B9D"/>
    <w:rsid w:val="00BC33C4"/>
    <w:rsid w:val="00BF6596"/>
    <w:rsid w:val="00C03AED"/>
    <w:rsid w:val="00C73314"/>
    <w:rsid w:val="00C95B91"/>
    <w:rsid w:val="00C96251"/>
    <w:rsid w:val="00C96CFE"/>
    <w:rsid w:val="00CF5D5C"/>
    <w:rsid w:val="00D431BD"/>
    <w:rsid w:val="00D67691"/>
    <w:rsid w:val="00D77257"/>
    <w:rsid w:val="00D85267"/>
    <w:rsid w:val="00DB0C4C"/>
    <w:rsid w:val="00DF72ED"/>
    <w:rsid w:val="00E03608"/>
    <w:rsid w:val="00E04BDD"/>
    <w:rsid w:val="00E17334"/>
    <w:rsid w:val="00E60609"/>
    <w:rsid w:val="00E7109F"/>
    <w:rsid w:val="00E80D7B"/>
    <w:rsid w:val="00E83F53"/>
    <w:rsid w:val="00E93811"/>
    <w:rsid w:val="00E94B95"/>
    <w:rsid w:val="00EA45EE"/>
    <w:rsid w:val="00EC5E8E"/>
    <w:rsid w:val="00ED2447"/>
    <w:rsid w:val="00ED3F01"/>
    <w:rsid w:val="00ED43A6"/>
    <w:rsid w:val="00F323BD"/>
    <w:rsid w:val="00F505B1"/>
    <w:rsid w:val="00FE5EA2"/>
    <w:rsid w:val="22FA7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26A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1"/>
    <w:unhideWhenUsed/>
    <w:qFormat/>
    <w:rsid w:val="00987702"/>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5B4CC3"/>
    <w:rPr>
      <w:sz w:val="18"/>
      <w:szCs w:val="18"/>
    </w:rPr>
  </w:style>
  <w:style w:type="character" w:customStyle="1" w:styleId="Char1">
    <w:name w:val="批注框文本 Char"/>
    <w:basedOn w:val="a0"/>
    <w:link w:val="a6"/>
    <w:uiPriority w:val="99"/>
    <w:semiHidden/>
    <w:rsid w:val="005B4CC3"/>
    <w:rPr>
      <w:kern w:val="2"/>
      <w:sz w:val="18"/>
      <w:szCs w:val="18"/>
    </w:rPr>
  </w:style>
  <w:style w:type="character" w:styleId="a7">
    <w:name w:val="annotation reference"/>
    <w:basedOn w:val="a0"/>
    <w:uiPriority w:val="99"/>
    <w:semiHidden/>
    <w:unhideWhenUsed/>
    <w:rsid w:val="009B230C"/>
    <w:rPr>
      <w:sz w:val="21"/>
      <w:szCs w:val="21"/>
    </w:rPr>
  </w:style>
  <w:style w:type="paragraph" w:styleId="a8">
    <w:name w:val="annotation text"/>
    <w:basedOn w:val="a"/>
    <w:link w:val="Char2"/>
    <w:uiPriority w:val="99"/>
    <w:semiHidden/>
    <w:unhideWhenUsed/>
    <w:rsid w:val="009B230C"/>
    <w:pPr>
      <w:jc w:val="left"/>
    </w:pPr>
  </w:style>
  <w:style w:type="character" w:customStyle="1" w:styleId="Char2">
    <w:name w:val="批注文字 Char"/>
    <w:basedOn w:val="a0"/>
    <w:link w:val="a8"/>
    <w:uiPriority w:val="99"/>
    <w:semiHidden/>
    <w:rsid w:val="009B230C"/>
    <w:rPr>
      <w:kern w:val="2"/>
      <w:sz w:val="21"/>
    </w:rPr>
  </w:style>
  <w:style w:type="paragraph" w:styleId="a9">
    <w:name w:val="annotation subject"/>
    <w:basedOn w:val="a8"/>
    <w:next w:val="a8"/>
    <w:link w:val="Char3"/>
    <w:uiPriority w:val="99"/>
    <w:semiHidden/>
    <w:unhideWhenUsed/>
    <w:rsid w:val="009B230C"/>
    <w:rPr>
      <w:b/>
      <w:bCs/>
    </w:rPr>
  </w:style>
  <w:style w:type="character" w:customStyle="1" w:styleId="Char3">
    <w:name w:val="批注主题 Char"/>
    <w:basedOn w:val="Char2"/>
    <w:link w:val="a9"/>
    <w:uiPriority w:val="99"/>
    <w:semiHidden/>
    <w:rsid w:val="009B230C"/>
    <w:rPr>
      <w:b/>
      <w:bCs/>
      <w:kern w:val="2"/>
      <w:sz w:val="21"/>
    </w:rPr>
  </w:style>
  <w:style w:type="character" w:styleId="aa">
    <w:name w:val="Placeholder Text"/>
    <w:basedOn w:val="a0"/>
    <w:uiPriority w:val="99"/>
    <w:unhideWhenUsed/>
    <w:rsid w:val="00223877"/>
    <w:rPr>
      <w:color w:val="808080"/>
    </w:rPr>
  </w:style>
  <w:style w:type="character" w:customStyle="1" w:styleId="3Char">
    <w:name w:val="标题 3 Char"/>
    <w:basedOn w:val="a0"/>
    <w:uiPriority w:val="9"/>
    <w:semiHidden/>
    <w:rsid w:val="00987702"/>
    <w:rPr>
      <w:b/>
      <w:bCs/>
      <w:kern w:val="2"/>
      <w:sz w:val="32"/>
      <w:szCs w:val="32"/>
    </w:rPr>
  </w:style>
  <w:style w:type="character" w:customStyle="1" w:styleId="3Char1">
    <w:name w:val="标题 3 Char1"/>
    <w:link w:val="3"/>
    <w:locked/>
    <w:rsid w:val="00987702"/>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3">
    <w:name w:val="heading 3"/>
    <w:basedOn w:val="a"/>
    <w:next w:val="a"/>
    <w:link w:val="3Char1"/>
    <w:unhideWhenUsed/>
    <w:qFormat/>
    <w:rsid w:val="00987702"/>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6">
    <w:name w:val="Balloon Text"/>
    <w:basedOn w:val="a"/>
    <w:link w:val="Char1"/>
    <w:uiPriority w:val="99"/>
    <w:semiHidden/>
    <w:unhideWhenUsed/>
    <w:rsid w:val="005B4CC3"/>
    <w:rPr>
      <w:sz w:val="18"/>
      <w:szCs w:val="18"/>
    </w:rPr>
  </w:style>
  <w:style w:type="character" w:customStyle="1" w:styleId="Char1">
    <w:name w:val="批注框文本 Char"/>
    <w:basedOn w:val="a0"/>
    <w:link w:val="a6"/>
    <w:uiPriority w:val="99"/>
    <w:semiHidden/>
    <w:rsid w:val="005B4CC3"/>
    <w:rPr>
      <w:kern w:val="2"/>
      <w:sz w:val="18"/>
      <w:szCs w:val="18"/>
    </w:rPr>
  </w:style>
  <w:style w:type="character" w:styleId="a7">
    <w:name w:val="annotation reference"/>
    <w:basedOn w:val="a0"/>
    <w:uiPriority w:val="99"/>
    <w:semiHidden/>
    <w:unhideWhenUsed/>
    <w:rsid w:val="009B230C"/>
    <w:rPr>
      <w:sz w:val="21"/>
      <w:szCs w:val="21"/>
    </w:rPr>
  </w:style>
  <w:style w:type="paragraph" w:styleId="a8">
    <w:name w:val="annotation text"/>
    <w:basedOn w:val="a"/>
    <w:link w:val="Char2"/>
    <w:uiPriority w:val="99"/>
    <w:semiHidden/>
    <w:unhideWhenUsed/>
    <w:rsid w:val="009B230C"/>
    <w:pPr>
      <w:jc w:val="left"/>
    </w:pPr>
  </w:style>
  <w:style w:type="character" w:customStyle="1" w:styleId="Char2">
    <w:name w:val="批注文字 Char"/>
    <w:basedOn w:val="a0"/>
    <w:link w:val="a8"/>
    <w:uiPriority w:val="99"/>
    <w:semiHidden/>
    <w:rsid w:val="009B230C"/>
    <w:rPr>
      <w:kern w:val="2"/>
      <w:sz w:val="21"/>
    </w:rPr>
  </w:style>
  <w:style w:type="paragraph" w:styleId="a9">
    <w:name w:val="annotation subject"/>
    <w:basedOn w:val="a8"/>
    <w:next w:val="a8"/>
    <w:link w:val="Char3"/>
    <w:uiPriority w:val="99"/>
    <w:semiHidden/>
    <w:unhideWhenUsed/>
    <w:rsid w:val="009B230C"/>
    <w:rPr>
      <w:b/>
      <w:bCs/>
    </w:rPr>
  </w:style>
  <w:style w:type="character" w:customStyle="1" w:styleId="Char3">
    <w:name w:val="批注主题 Char"/>
    <w:basedOn w:val="Char2"/>
    <w:link w:val="a9"/>
    <w:uiPriority w:val="99"/>
    <w:semiHidden/>
    <w:rsid w:val="009B230C"/>
    <w:rPr>
      <w:b/>
      <w:bCs/>
      <w:kern w:val="2"/>
      <w:sz w:val="21"/>
    </w:rPr>
  </w:style>
  <w:style w:type="character" w:styleId="aa">
    <w:name w:val="Placeholder Text"/>
    <w:basedOn w:val="a0"/>
    <w:uiPriority w:val="99"/>
    <w:unhideWhenUsed/>
    <w:rsid w:val="00223877"/>
    <w:rPr>
      <w:color w:val="808080"/>
    </w:rPr>
  </w:style>
  <w:style w:type="character" w:customStyle="1" w:styleId="3Char">
    <w:name w:val="标题 3 Char"/>
    <w:basedOn w:val="a0"/>
    <w:uiPriority w:val="9"/>
    <w:semiHidden/>
    <w:rsid w:val="00987702"/>
    <w:rPr>
      <w:b/>
      <w:bCs/>
      <w:kern w:val="2"/>
      <w:sz w:val="32"/>
      <w:szCs w:val="32"/>
    </w:rPr>
  </w:style>
  <w:style w:type="character" w:customStyle="1" w:styleId="3Char1">
    <w:name w:val="标题 3 Char1"/>
    <w:link w:val="3"/>
    <w:locked/>
    <w:rsid w:val="00987702"/>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37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A8664-236B-4FE4-9A9D-7E76005AC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Words>
  <Characters>874</Characters>
  <Application>Microsoft Office Word</Application>
  <DocSecurity>0</DocSecurity>
  <Lines>7</Lines>
  <Paragraphs>2</Paragraphs>
  <ScaleCrop>false</ScaleCrop>
  <Company>微软中国</Company>
  <LinksUpToDate>false</LinksUpToDate>
  <CharactersWithSpaces>1025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hsq</cp:lastModifiedBy>
  <cp:revision>3</cp:revision>
  <dcterms:created xsi:type="dcterms:W3CDTF">2023-11-28T07:33:00Z</dcterms:created>
  <dcterms:modified xsi:type="dcterms:W3CDTF">2023-11-28T07:34:00Z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